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14:textFill>
            <w14:solidFill>
              <w14:schemeClr w14:val="tx1"/>
            </w14:solidFill>
          </w14:textFill>
        </w:rPr>
      </w:pPr>
    </w:p>
    <w:p>
      <w:pPr>
        <w:numPr>
          <w:ilvl w:val="0"/>
          <w:numId w:val="0"/>
        </w:numPr>
        <w:jc w:val="center"/>
        <w:rPr>
          <w:rFonts w:hint="eastAsia" w:asciiTheme="minorEastAsia" w:hAnsiTheme="minorEastAsia" w:cstheme="minorEastAsia"/>
          <w:b/>
          <w:bCs/>
          <w:color w:val="000000" w:themeColor="text1"/>
          <w:sz w:val="44"/>
          <w:szCs w:val="44"/>
          <w:lang w:val="en-US" w:eastAsia="zh-CN"/>
          <w14:textFill>
            <w14:solidFill>
              <w14:schemeClr w14:val="tx1"/>
            </w14:solidFill>
          </w14:textFill>
        </w:rPr>
      </w:pPr>
      <w:bookmarkStart w:id="0" w:name="_Title#3910760528"/>
      <w:r>
        <w:rPr>
          <w:rFonts w:hint="eastAsia" w:asciiTheme="minorEastAsia" w:hAnsiTheme="minorEastAsia" w:cstheme="minorEastAsia"/>
          <w:b/>
          <w:bCs/>
          <w:color w:val="000000" w:themeColor="text1"/>
          <w:sz w:val="44"/>
          <w:szCs w:val="44"/>
          <w:lang w:val="en-US" w:eastAsia="zh-CN"/>
          <w14:textFill>
            <w14:solidFill>
              <w14:schemeClr w14:val="tx1"/>
            </w14:solidFill>
          </w14:textFill>
        </w:rPr>
        <w:t>智能电表升级和低压集抄改造宣传手册</w:t>
      </w:r>
      <w:bookmarkEnd w:id="0"/>
    </w:p>
    <w:p>
      <w:pPr>
        <w:numPr>
          <w:ilvl w:val="0"/>
          <w:numId w:val="0"/>
        </w:numPr>
        <w:jc w:val="center"/>
        <w:rPr>
          <w:rFonts w:hint="eastAsia" w:asciiTheme="minorEastAsia" w:hAnsiTheme="minorEastAsia" w:cstheme="minorEastAsia"/>
          <w:b/>
          <w:bCs/>
          <w:color w:val="000000" w:themeColor="text1"/>
          <w:sz w:val="44"/>
          <w:szCs w:val="44"/>
          <w:lang w:val="en-US" w:eastAsia="zh-CN"/>
          <w14:textFill>
            <w14:solidFill>
              <w14:schemeClr w14:val="tx1"/>
            </w14:solidFill>
          </w14:textFill>
        </w:rPr>
      </w:pP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什么是智能电表？</w:t>
      </w:r>
    </w:p>
    <w:p>
      <w:pPr>
        <w:numPr>
          <w:ilvl w:val="0"/>
          <w:numId w:val="0"/>
        </w:numP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答：智能电表是智能电网的用户智能化终端，它已经不是传统意义上的电能表，智能电表除具备传统电表基本的用电量计量功能以外，为适应智能电网和新能源的使用，它还</w:t>
      </w:r>
      <w:bookmarkStart w:id="1" w:name="_GoBack"/>
      <w:bookmarkEnd w:id="1"/>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具有用电信息存储，双向多费率计量功能，用户端控制功能、多种数据传输模式的双向数据通信功能等智能化功能。</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什么是低压集抄？</w:t>
      </w:r>
    </w:p>
    <w:p>
      <w:pPr>
        <w:numPr>
          <w:ilvl w:val="0"/>
          <w:numId w:val="0"/>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答：低压集抄是低压电能表集中自动抄表系统。通过485通信线、低压电力线载波、无线等技术方式实现电能表和低压集抄设备之间通讯和数据自动传输，方便居民的生活，同时提高电力部门的服务质量。</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为什么要进行智能电表升级？智能电表有什么优点？</w:t>
      </w:r>
    </w:p>
    <w:p>
      <w:pPr>
        <w:numPr>
          <w:ilvl w:val="0"/>
          <w:numId w:val="0"/>
        </w:numP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答：</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1）为配合国家关于智能电网发展的规划。智能电表代表未来节能型智能电网最终用户智能化终端的发展方向，其全面推广是大势所趋。（2）智能电表采用专用大规模数字集成电路，具有性能稳定、可靠性高、功耗低的特点。主要有以下优点，一是节能、环保；二是功能齐全、计量精准、计费透明；三是有很好防窃电功能，使用户可以用上放心的安全电；四是管理更加合理、高效</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智能电表升级工作流程是什么？</w:t>
      </w:r>
    </w:p>
    <w:p>
      <w:pPr>
        <w:numPr>
          <w:ilvl w:val="0"/>
          <w:numId w:val="0"/>
        </w:numP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答：（1）智能电表升级和低压集抄改造前派专业人员到现场勘察后制定详细的施工方案、工程质量计划等计划书，做好施工前的各项准备工作。（2）为了提高用户用电的质量，减少更换电表对用户用电的影响；施工前3天应通过短信、街道通知等公告形式通知客户做好停电准备；（3）工作人员在更换残旧的电能表箱、电能表时，将旧表止码贴在表箱外，用户可对电表的底数进行核对，清晰了解换表前后的用电情况。</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电能表表盖上的5（80）A是什么意思？</w:t>
      </w:r>
    </w:p>
    <w:p>
      <w:pPr>
        <w:rPr>
          <w:rFonts w:hint="eastAsia"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由国家标准</w:t>
      </w:r>
      <w:r>
        <w:rPr>
          <w:rFonts w:hint="eastAsia" w:asciiTheme="minorEastAsia" w:hAnsiTheme="minorEastAsia" w:cstheme="minorEastAsia"/>
          <w:color w:val="000000" w:themeColor="text1"/>
          <w:sz w:val="28"/>
          <w:szCs w:val="28"/>
          <w14:textFill>
            <w14:solidFill>
              <w14:schemeClr w14:val="tx1"/>
            </w14:solidFill>
          </w14:textFill>
        </w:rPr>
        <w:t>JJG596-2012《电子式交流电能表检定规程》</w:t>
      </w:r>
      <w:r>
        <w:rPr>
          <w:rFonts w:hint="eastAsia" w:asciiTheme="minorEastAsia" w:hAnsiTheme="minorEastAsia" w:cstheme="minorEastAsia"/>
          <w:color w:val="000000" w:themeColor="text1"/>
          <w:sz w:val="28"/>
          <w:szCs w:val="28"/>
          <w:lang w:eastAsia="zh-CN"/>
          <w14:textFill>
            <w14:solidFill>
              <w14:schemeClr w14:val="tx1"/>
            </w14:solidFill>
          </w14:textFill>
        </w:rPr>
        <w:t>的定义可知，</w:t>
      </w:r>
      <w:r>
        <w:rPr>
          <w:rFonts w:hint="eastAsia" w:asciiTheme="minorEastAsia" w:hAnsiTheme="minorEastAsia" w:cstheme="minorEastAsia"/>
          <w:color w:val="000000" w:themeColor="text1"/>
          <w:sz w:val="28"/>
          <w:szCs w:val="28"/>
          <w:lang w:val="en-US" w:eastAsia="zh-CN"/>
          <w14:textFill>
            <w14:solidFill>
              <w14:schemeClr w14:val="tx1"/>
            </w14:solidFill>
          </w14:textFill>
        </w:rPr>
        <w:t>5</w:t>
      </w:r>
      <w:r>
        <w:rPr>
          <w:rFonts w:hint="eastAsia" w:asciiTheme="minorEastAsia" w:hAnsiTheme="minorEastAsia" w:cstheme="minorEastAsia"/>
          <w:color w:val="000000" w:themeColor="text1"/>
          <w:sz w:val="28"/>
          <w:szCs w:val="28"/>
          <w14:textFill>
            <w14:solidFill>
              <w14:schemeClr w14:val="tx1"/>
            </w14:solidFill>
          </w14:textFill>
        </w:rPr>
        <w:t>代表基本电流，</w:t>
      </w:r>
      <w:r>
        <w:rPr>
          <w:rFonts w:hint="eastAsia" w:asciiTheme="minorEastAsia" w:hAnsiTheme="minorEastAsia" w:cstheme="minorEastAsia"/>
          <w:color w:val="000000" w:themeColor="text1"/>
          <w:sz w:val="28"/>
          <w:szCs w:val="28"/>
          <w:lang w:eastAsia="zh-CN"/>
          <w14:textFill>
            <w14:solidFill>
              <w14:schemeClr w14:val="tx1"/>
            </w14:solidFill>
          </w14:textFill>
        </w:rPr>
        <w:t>是能</w:t>
      </w:r>
      <w:r>
        <w:rPr>
          <w:rFonts w:hint="eastAsia" w:asciiTheme="minorEastAsia" w:hAnsiTheme="minorEastAsia" w:cstheme="minorEastAsia"/>
          <w:color w:val="000000" w:themeColor="text1"/>
          <w:sz w:val="28"/>
          <w:szCs w:val="28"/>
          <w14:textFill>
            <w14:solidFill>
              <w14:schemeClr w14:val="tx1"/>
            </w14:solidFill>
          </w14:textFill>
        </w:rPr>
        <w:t>确定</w:t>
      </w:r>
      <w:r>
        <w:rPr>
          <w:rFonts w:hint="eastAsia" w:asciiTheme="minorEastAsia" w:hAnsiTheme="minorEastAsia" w:cstheme="minorEastAsia"/>
          <w:color w:val="000000" w:themeColor="text1"/>
          <w:sz w:val="28"/>
          <w:szCs w:val="28"/>
          <w:lang w:eastAsia="zh-CN"/>
          <w14:textFill>
            <w14:solidFill>
              <w14:schemeClr w14:val="tx1"/>
            </w14:solidFill>
          </w14:textFill>
        </w:rPr>
        <w:t>电能</w:t>
      </w:r>
      <w:r>
        <w:rPr>
          <w:rFonts w:hint="eastAsia" w:asciiTheme="minorEastAsia" w:hAnsiTheme="minorEastAsia" w:cstheme="minorEastAsia"/>
          <w:color w:val="000000" w:themeColor="text1"/>
          <w:sz w:val="28"/>
          <w:szCs w:val="28"/>
          <w14:textFill>
            <w14:solidFill>
              <w14:schemeClr w14:val="tx1"/>
            </w14:solidFill>
          </w14:textFill>
        </w:rPr>
        <w:t>表有关特性的电流值</w:t>
      </w:r>
      <w:r>
        <w:rPr>
          <w:rFonts w:hint="eastAsia" w:asciiTheme="minorEastAsia" w:hAnsiTheme="minorEastAsia" w:cstheme="minorEastAsia"/>
          <w:color w:val="000000" w:themeColor="text1"/>
          <w:sz w:val="28"/>
          <w:szCs w:val="28"/>
          <w:lang w:eastAsia="zh-CN"/>
          <w14:textFill>
            <w14:solidFill>
              <w14:schemeClr w14:val="tx1"/>
            </w14:solidFill>
          </w14:textFill>
        </w:rPr>
        <w:t>，它能确定电能表的起动电流；</w:t>
      </w:r>
      <w:r>
        <w:rPr>
          <w:rFonts w:hint="eastAsia" w:asciiTheme="minorEastAsia" w:hAnsiTheme="minorEastAsia" w:cstheme="minorEastAsia"/>
          <w:color w:val="000000" w:themeColor="text1"/>
          <w:sz w:val="28"/>
          <w:szCs w:val="28"/>
          <w:lang w:val="en-US" w:eastAsia="zh-CN"/>
          <w14:textFill>
            <w14:solidFill>
              <w14:schemeClr w14:val="tx1"/>
            </w14:solidFill>
          </w14:textFill>
        </w:rPr>
        <w:t>80</w:t>
      </w:r>
      <w:r>
        <w:rPr>
          <w:rFonts w:hint="eastAsia" w:asciiTheme="minorEastAsia" w:hAnsiTheme="minorEastAsia" w:cstheme="minorEastAsia"/>
          <w:color w:val="000000" w:themeColor="text1"/>
          <w:sz w:val="28"/>
          <w:szCs w:val="28"/>
          <w14:textFill>
            <w14:solidFill>
              <w14:schemeClr w14:val="tx1"/>
            </w14:solidFill>
          </w14:textFill>
        </w:rPr>
        <w:t>代表最大电流，指</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使电能表长期正常工作</w:t>
      </w:r>
      <w:r>
        <w:rPr>
          <w:rFonts w:hint="eastAsia" w:asciiTheme="minorEastAsia" w:hAnsiTheme="minorEastAsia" w:cstheme="minorEastAsia"/>
          <w:color w:val="000000" w:themeColor="text1"/>
          <w:sz w:val="28"/>
          <w:szCs w:val="28"/>
          <w:lang w:eastAsia="zh-CN"/>
          <w14:textFill>
            <w14:solidFill>
              <w14:schemeClr w14:val="tx1"/>
            </w14:solidFill>
          </w14:textFill>
        </w:rPr>
        <w:t>且准确计量</w:t>
      </w:r>
      <w:r>
        <w:rPr>
          <w:rFonts w:hint="eastAsia" w:asciiTheme="minorEastAsia" w:hAnsiTheme="minorEastAsia" w:cstheme="minorEastAsia"/>
          <w:color w:val="000000" w:themeColor="text1"/>
          <w:sz w:val="28"/>
          <w:szCs w:val="28"/>
          <w14:textFill>
            <w14:solidFill>
              <w14:schemeClr w14:val="tx1"/>
            </w14:solidFill>
          </w14:textFill>
        </w:rPr>
        <w:t>的最大电流</w:t>
      </w:r>
      <w:r>
        <w:rPr>
          <w:rFonts w:hint="eastAsia" w:asciiTheme="minorEastAsia" w:hAnsiTheme="minorEastAsia" w:cstheme="minorEastAsia"/>
          <w:color w:val="000000" w:themeColor="text1"/>
          <w:sz w:val="28"/>
          <w:szCs w:val="28"/>
          <w:lang w:eastAsia="zh-CN"/>
          <w14:textFill>
            <w14:solidFill>
              <w14:schemeClr w14:val="tx1"/>
            </w14:solidFill>
          </w14:textFill>
        </w:rPr>
        <w:t>值</w:t>
      </w:r>
      <w:r>
        <w:rPr>
          <w:rFonts w:hint="eastAsia" w:asciiTheme="minorEastAsia" w:hAnsiTheme="minorEastAsia" w:cstheme="minorEastAsia"/>
          <w:color w:val="000000" w:themeColor="text1"/>
          <w:sz w:val="28"/>
          <w:szCs w:val="28"/>
          <w14:textFill>
            <w14:solidFill>
              <w14:schemeClr w14:val="tx1"/>
            </w14:solidFill>
          </w14:textFill>
        </w:rPr>
        <w:t>。</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智能电表脉冲灯的作用及参数，不亮是否有什么影响？</w:t>
      </w:r>
    </w:p>
    <w:p>
      <w:pP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w:t>
      </w:r>
      <w:r>
        <w:rPr>
          <w:rFonts w:hint="eastAsia" w:asciiTheme="minorEastAsia" w:hAnsiTheme="minorEastAsia" w:cstheme="minorEastAsia"/>
          <w:color w:val="000000" w:themeColor="text1"/>
          <w:sz w:val="28"/>
          <w:szCs w:val="28"/>
          <w:lang w:eastAsia="zh-CN"/>
          <w14:textFill>
            <w14:solidFill>
              <w14:schemeClr w14:val="tx1"/>
            </w14:solidFill>
          </w14:textFill>
        </w:rPr>
        <w:t>的</w:t>
      </w:r>
      <w:r>
        <w:rPr>
          <w:rFonts w:hint="eastAsia" w:asciiTheme="minorEastAsia" w:hAnsiTheme="minorEastAsia" w:cstheme="minorEastAsia"/>
          <w:color w:val="000000" w:themeColor="text1"/>
          <w:sz w:val="28"/>
          <w:szCs w:val="28"/>
          <w14:textFill>
            <w14:solidFill>
              <w14:schemeClr w14:val="tx1"/>
            </w14:solidFill>
          </w14:textFill>
        </w:rPr>
        <w:t>脉冲灯用</w:t>
      </w:r>
      <w:r>
        <w:rPr>
          <w:rFonts w:hint="eastAsia" w:asciiTheme="minorEastAsia" w:hAnsiTheme="minorEastAsia" w:cstheme="minorEastAsia"/>
          <w:color w:val="000000" w:themeColor="text1"/>
          <w:sz w:val="28"/>
          <w:szCs w:val="28"/>
          <w:lang w:eastAsia="zh-CN"/>
          <w14:textFill>
            <w14:solidFill>
              <w14:schemeClr w14:val="tx1"/>
            </w14:solidFill>
          </w14:textFill>
        </w:rPr>
        <w:t>于</w:t>
      </w:r>
      <w:r>
        <w:rPr>
          <w:rFonts w:hint="eastAsia" w:asciiTheme="minorEastAsia" w:hAnsiTheme="minorEastAsia" w:cstheme="minorEastAsia"/>
          <w:color w:val="000000" w:themeColor="text1"/>
          <w:sz w:val="28"/>
          <w:szCs w:val="28"/>
          <w14:textFill>
            <w14:solidFill>
              <w14:schemeClr w14:val="tx1"/>
            </w14:solidFill>
          </w14:textFill>
        </w:rPr>
        <w:t>指示电能表是否正常计量电量</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14:textFill>
            <w14:solidFill>
              <w14:schemeClr w14:val="tx1"/>
            </w14:solidFill>
          </w14:textFill>
        </w:rPr>
        <w:t>其参数一般为</w:t>
      </w:r>
      <w:r>
        <w:rPr>
          <w:rFonts w:hint="eastAsia" w:asciiTheme="minorEastAsia" w:hAnsiTheme="minorEastAsia" w:cstheme="minorEastAsia"/>
          <w:color w:val="000000" w:themeColor="text1"/>
          <w:sz w:val="28"/>
          <w:szCs w:val="28"/>
          <w:lang w:val="en-US" w:eastAsia="zh-CN"/>
          <w14:textFill>
            <w14:solidFill>
              <w14:schemeClr w14:val="tx1"/>
            </w14:solidFill>
          </w14:textFill>
        </w:rPr>
        <w:t>1200</w:t>
      </w:r>
      <w:r>
        <w:rPr>
          <w:rFonts w:hint="eastAsia" w:asciiTheme="minorEastAsia" w:hAnsiTheme="minorEastAsia" w:cstheme="minorEastAsia"/>
          <w:color w:val="000000" w:themeColor="text1"/>
          <w:sz w:val="28"/>
          <w:szCs w:val="28"/>
          <w14:textFill>
            <w14:solidFill>
              <w14:schemeClr w14:val="tx1"/>
            </w14:solidFill>
          </w14:textFill>
        </w:rPr>
        <w:t>imp/kWh，</w:t>
      </w:r>
      <w:r>
        <w:rPr>
          <w:rFonts w:hint="eastAsia" w:asciiTheme="minorEastAsia" w:hAnsiTheme="minorEastAsia" w:cstheme="minorEastAsia"/>
          <w:color w:val="000000" w:themeColor="text1"/>
          <w:sz w:val="28"/>
          <w:szCs w:val="28"/>
          <w:lang w:eastAsia="zh-CN"/>
          <w14:textFill>
            <w14:solidFill>
              <w14:schemeClr w14:val="tx1"/>
            </w14:solidFill>
          </w14:textFill>
        </w:rPr>
        <w:t>代表脉冲灯闪烁</w:t>
      </w:r>
      <w:r>
        <w:rPr>
          <w:rFonts w:hint="eastAsia" w:asciiTheme="minorEastAsia" w:hAnsiTheme="minorEastAsia" w:cstheme="minorEastAsia"/>
          <w:color w:val="000000" w:themeColor="text1"/>
          <w:sz w:val="28"/>
          <w:szCs w:val="28"/>
          <w:lang w:val="en-US" w:eastAsia="zh-CN"/>
          <w14:textFill>
            <w14:solidFill>
              <w14:schemeClr w14:val="tx1"/>
            </w14:solidFill>
          </w14:textFill>
        </w:rPr>
        <w:t>1200下计量一度电；2）当居民家里未使用电能时，脉冲灯不闪烁；若居民家中正常用电脉冲灯依然不闪烁，说明脉冲灯相关电路出现故障，需要联系供电局专业技术人员到现场解决。</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智能电表的电量用多少位数来显示，如何识别电能表的电量读数？</w:t>
      </w:r>
    </w:p>
    <w:p>
      <w:pP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1）电能表一般用六位整数，两位小数来显示电量，其显示的</w:t>
      </w:r>
      <w:r>
        <w:rPr>
          <w:rFonts w:hint="eastAsia" w:asciiTheme="minorEastAsia" w:hAnsiTheme="minorEastAsia" w:cstheme="minorEastAsia"/>
          <w:color w:val="000000" w:themeColor="text1"/>
          <w:sz w:val="28"/>
          <w:szCs w:val="28"/>
          <w14:textFill>
            <w14:solidFill>
              <w14:schemeClr w14:val="tx1"/>
            </w14:solidFill>
          </w14:textFill>
        </w:rPr>
        <w:t>最小单位为0.01度</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2）使用者可以通过按压表盖上的按键来读取电量。</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电能表一般有几个封印，分别位于什么位置？</w:t>
      </w:r>
    </w:p>
    <w:p>
      <w:pPr>
        <w:rPr>
          <w:rFonts w:hint="eastAsia" w:asciiTheme="minorEastAsia" w:hAnsi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电能表一般有三个封印，分别是出厂封印、检定封印和安装封印。出厂封印位于电能表的左上角和右上角，检定封印位于电能表的表盖上，安装封印位于电能表的端子盖上。</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小容量或大容量电能表是不是会转得更快从而造成电费增加？</w:t>
      </w:r>
    </w:p>
    <w:p>
      <w:pP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不管是小容量还是大容量电能表，只要电能表检定合格，</w:t>
      </w:r>
      <w:r>
        <w:rPr>
          <w:rFonts w:hint="eastAsia" w:asciiTheme="minorEastAsia" w:hAnsiTheme="minorEastAsia" w:cstheme="minorEastAsia"/>
          <w:color w:val="000000" w:themeColor="text1"/>
          <w:sz w:val="28"/>
          <w:szCs w:val="28"/>
          <w14:textFill>
            <w14:solidFill>
              <w14:schemeClr w14:val="tx1"/>
            </w14:solidFill>
          </w14:textFill>
        </w:rPr>
        <w:t>其</w:t>
      </w:r>
      <w:r>
        <w:rPr>
          <w:rFonts w:hint="eastAsia" w:asciiTheme="minorEastAsia" w:hAnsiTheme="minorEastAsia" w:cstheme="minorEastAsia"/>
          <w:color w:val="000000" w:themeColor="text1"/>
          <w:sz w:val="28"/>
          <w:szCs w:val="28"/>
          <w:lang w:eastAsia="zh-CN"/>
          <w14:textFill>
            <w14:solidFill>
              <w14:schemeClr w14:val="tx1"/>
            </w14:solidFill>
          </w14:textFill>
        </w:rPr>
        <w:t>在有效</w:t>
      </w:r>
      <w:r>
        <w:rPr>
          <w:rFonts w:hint="eastAsia" w:asciiTheme="minorEastAsia" w:hAnsiTheme="minorEastAsia" w:cstheme="minorEastAsia"/>
          <w:color w:val="000000" w:themeColor="text1"/>
          <w:sz w:val="28"/>
          <w:szCs w:val="28"/>
          <w14:textFill>
            <w14:solidFill>
              <w14:schemeClr w14:val="tx1"/>
            </w14:solidFill>
          </w14:textFill>
        </w:rPr>
        <w:t>计量</w:t>
      </w:r>
      <w:r>
        <w:rPr>
          <w:rFonts w:hint="eastAsia" w:asciiTheme="minorEastAsia" w:hAnsiTheme="minorEastAsia" w:cstheme="minorEastAsia"/>
          <w:color w:val="000000" w:themeColor="text1"/>
          <w:sz w:val="28"/>
          <w:szCs w:val="28"/>
          <w:lang w:eastAsia="zh-CN"/>
          <w14:textFill>
            <w14:solidFill>
              <w14:schemeClr w14:val="tx1"/>
            </w14:solidFill>
          </w14:textFill>
        </w:rPr>
        <w:t>范围</w:t>
      </w:r>
      <w:r>
        <w:rPr>
          <w:rFonts w:hint="eastAsia" w:asciiTheme="minorEastAsia" w:hAnsiTheme="minorEastAsia" w:cstheme="minorEastAsia"/>
          <w:color w:val="000000" w:themeColor="text1"/>
          <w:sz w:val="28"/>
          <w:szCs w:val="28"/>
          <w14:textFill>
            <w14:solidFill>
              <w14:schemeClr w14:val="tx1"/>
            </w14:solidFill>
          </w14:textFill>
        </w:rPr>
        <w:t>内</w:t>
      </w:r>
      <w:r>
        <w:rPr>
          <w:rFonts w:hint="eastAsia" w:asciiTheme="minorEastAsia" w:hAnsiTheme="minorEastAsia" w:cstheme="minorEastAsia"/>
          <w:color w:val="000000" w:themeColor="text1"/>
          <w:sz w:val="28"/>
          <w:szCs w:val="28"/>
          <w:lang w:eastAsia="zh-CN"/>
          <w14:textFill>
            <w14:solidFill>
              <w14:schemeClr w14:val="tx1"/>
            </w14:solidFill>
          </w14:textFill>
        </w:rPr>
        <w:t>误差都不会超过国家规定（</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lang w:eastAsia="zh-CN"/>
          <w14:textFill>
            <w14:solidFill>
              <w14:schemeClr w14:val="tx1"/>
            </w14:solidFill>
          </w14:textFill>
        </w:rPr>
        <w:t>），都能</w:t>
      </w:r>
      <w:r>
        <w:rPr>
          <w:rFonts w:hint="eastAsia" w:asciiTheme="minorEastAsia" w:hAnsiTheme="minorEastAsia" w:cstheme="minorEastAsia"/>
          <w:color w:val="000000" w:themeColor="text1"/>
          <w:sz w:val="28"/>
          <w:szCs w:val="28"/>
          <w14:textFill>
            <w14:solidFill>
              <w14:schemeClr w14:val="tx1"/>
            </w14:solidFill>
          </w14:textFill>
        </w:rPr>
        <w:t>准确计量，不会造成电费增加。</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为什么感觉没用电但是电表还在走？</w:t>
      </w:r>
    </w:p>
    <w:p>
      <w:pP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智能电能表计量更精确，灵敏度更高，当居民用电设备处于待机状态时也能够准确计量，为了响应国家节能减排的号召以及培养居民良好的用电习惯，建议居民将不使用的电器的电源拔掉。另外，室内线路老化，泄露电流，也会消耗电能。</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现在安装的居民用电能表多为5（60）A、5（80）A的电能表，为什么不给客户安装更大安培的电能表呢？</w:t>
      </w:r>
    </w:p>
    <w:p>
      <w:pP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居民用电能表最大电流的选择是由居民的用电容量决定的，当下最大电流为</w:t>
      </w:r>
      <w:r>
        <w:rPr>
          <w:rFonts w:hint="eastAsia" w:asciiTheme="minorEastAsia" w:hAnsiTheme="minorEastAsia" w:cstheme="minorEastAsia"/>
          <w:color w:val="000000" w:themeColor="text1"/>
          <w:sz w:val="28"/>
          <w:szCs w:val="28"/>
          <w:lang w:val="en-US" w:eastAsia="zh-CN"/>
          <w14:textFill>
            <w14:solidFill>
              <w14:schemeClr w14:val="tx1"/>
            </w14:solidFill>
          </w14:textFill>
        </w:rPr>
        <w:t>60A、80A的电能表能够满足绝大部分居民的用电需求。按照中国南方电网公司电能计量装置典型设计，原则上农村地区居民客户配置5（60）A电能表，城市地区居民客户配置5（80）A电能表；若居民用户增加了用电负荷或有特殊需求，可以向当地供电局营业厅或通过网上营业厅申请增容，供电局将派技术人员到现场进行勘察后，再确定是否更换电表。</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智能电表的常见异常情况有哪些？是否影响电能表计量的准确性？</w:t>
      </w:r>
    </w:p>
    <w:p>
      <w:pP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w:t>
      </w:r>
      <w:r>
        <w:rPr>
          <w:rFonts w:hint="eastAsia" w:asciiTheme="minorEastAsia" w:hAnsiTheme="minorEastAsia" w:cstheme="minorEastAsia"/>
          <w:color w:val="000000" w:themeColor="text1"/>
          <w:sz w:val="28"/>
          <w:szCs w:val="28"/>
          <w:lang w:eastAsia="zh-CN"/>
          <w14:textFill>
            <w14:solidFill>
              <w14:schemeClr w14:val="tx1"/>
            </w14:solidFill>
          </w14:textFill>
        </w:rPr>
        <w:t>电能表的常见异常情况包括</w:t>
      </w:r>
      <w:r>
        <w:rPr>
          <w:rFonts w:hint="eastAsia" w:asciiTheme="minorEastAsia" w:hAnsiTheme="minorEastAsia" w:cstheme="minorEastAsia"/>
          <w:color w:val="000000" w:themeColor="text1"/>
          <w:sz w:val="28"/>
          <w:szCs w:val="28"/>
          <w14:textFill>
            <w14:solidFill>
              <w14:schemeClr w14:val="tx1"/>
            </w14:solidFill>
          </w14:textFill>
        </w:rPr>
        <w:t>屏幕不显示</w:t>
      </w:r>
      <w:r>
        <w:rPr>
          <w:rFonts w:hint="eastAsia" w:asciiTheme="minorEastAsia" w:hAnsiTheme="minorEastAsia" w:cstheme="minorEastAsia"/>
          <w:color w:val="000000" w:themeColor="text1"/>
          <w:sz w:val="28"/>
          <w:szCs w:val="28"/>
          <w:lang w:eastAsia="zh-CN"/>
          <w14:textFill>
            <w14:solidFill>
              <w14:schemeClr w14:val="tx1"/>
            </w14:solidFill>
          </w14:textFill>
        </w:rPr>
        <w:t>、屏幕</w:t>
      </w:r>
      <w:r>
        <w:rPr>
          <w:rFonts w:hint="eastAsia" w:asciiTheme="minorEastAsia" w:hAnsiTheme="minorEastAsia" w:cstheme="minorEastAsia"/>
          <w:color w:val="000000" w:themeColor="text1"/>
          <w:sz w:val="28"/>
          <w:szCs w:val="28"/>
          <w14:textFill>
            <w14:solidFill>
              <w14:schemeClr w14:val="tx1"/>
            </w14:solidFill>
          </w14:textFill>
        </w:rPr>
        <w:t>长亮、脉冲灯长亮及电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表外壳损坏</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14:textFill>
            <w14:solidFill>
              <w14:schemeClr w14:val="tx1"/>
            </w14:solidFill>
          </w14:textFill>
        </w:rPr>
        <w:t>只要</w:t>
      </w:r>
      <w:r>
        <w:rPr>
          <w:rFonts w:hint="eastAsia" w:asciiTheme="minorEastAsia" w:hAnsiTheme="minorEastAsia" w:cstheme="minorEastAsia"/>
          <w:color w:val="000000" w:themeColor="text1"/>
          <w:sz w:val="28"/>
          <w:szCs w:val="28"/>
          <w:lang w:eastAsia="zh-CN"/>
          <w14:textFill>
            <w14:solidFill>
              <w14:schemeClr w14:val="tx1"/>
            </w14:solidFill>
          </w14:textFill>
        </w:rPr>
        <w:t>电能表的</w:t>
      </w:r>
      <w:r>
        <w:rPr>
          <w:rFonts w:hint="eastAsia" w:asciiTheme="minorEastAsia" w:hAnsiTheme="minorEastAsia" w:cstheme="minorEastAsia"/>
          <w:color w:val="000000" w:themeColor="text1"/>
          <w:sz w:val="28"/>
          <w:szCs w:val="28"/>
          <w14:textFill>
            <w14:solidFill>
              <w14:schemeClr w14:val="tx1"/>
            </w14:solidFill>
          </w14:textFill>
        </w:rPr>
        <w:t>计量电路不受损</w:t>
      </w:r>
      <w:r>
        <w:rPr>
          <w:rFonts w:hint="eastAsia" w:asciiTheme="minorEastAsia" w:hAnsiTheme="minorEastAsia" w:cstheme="minorEastAsia"/>
          <w:color w:val="000000" w:themeColor="text1"/>
          <w:sz w:val="28"/>
          <w:szCs w:val="28"/>
          <w:lang w:eastAsia="zh-CN"/>
          <w14:textFill>
            <w14:solidFill>
              <w14:schemeClr w14:val="tx1"/>
            </w14:solidFill>
          </w14:textFill>
        </w:rPr>
        <w:t>坏</w:t>
      </w:r>
      <w:r>
        <w:rPr>
          <w:rFonts w:hint="eastAsia"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eastAsia="zh-CN"/>
          <w14:textFill>
            <w14:solidFill>
              <w14:schemeClr w14:val="tx1"/>
            </w14:solidFill>
          </w14:textFill>
        </w:rPr>
        <w:t>其</w:t>
      </w:r>
      <w:r>
        <w:rPr>
          <w:rFonts w:hint="eastAsia" w:asciiTheme="minorEastAsia" w:hAnsiTheme="minorEastAsia" w:cstheme="minorEastAsia"/>
          <w:color w:val="000000" w:themeColor="text1"/>
          <w:sz w:val="28"/>
          <w:szCs w:val="28"/>
          <w14:textFill>
            <w14:solidFill>
              <w14:schemeClr w14:val="tx1"/>
            </w14:solidFill>
          </w14:textFill>
        </w:rPr>
        <w:t>计量准确性</w:t>
      </w:r>
      <w:r>
        <w:rPr>
          <w:rFonts w:hint="eastAsia" w:asciiTheme="minorEastAsia" w:hAnsiTheme="minorEastAsia" w:cstheme="minorEastAsia"/>
          <w:color w:val="000000" w:themeColor="text1"/>
          <w:sz w:val="28"/>
          <w:szCs w:val="28"/>
          <w:lang w:eastAsia="zh-CN"/>
          <w14:textFill>
            <w14:solidFill>
              <w14:schemeClr w14:val="tx1"/>
            </w14:solidFill>
          </w14:textFill>
        </w:rPr>
        <w:t>将</w:t>
      </w:r>
      <w:r>
        <w:rPr>
          <w:rFonts w:hint="eastAsia" w:asciiTheme="minorEastAsia" w:hAnsiTheme="minorEastAsia" w:cstheme="minorEastAsia"/>
          <w:color w:val="000000" w:themeColor="text1"/>
          <w:sz w:val="28"/>
          <w:szCs w:val="28"/>
          <w14:textFill>
            <w14:solidFill>
              <w14:schemeClr w14:val="tx1"/>
            </w14:solidFill>
          </w14:textFill>
        </w:rPr>
        <w:t>不受影响</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3）当用户发现电能表异常时，可及时拨打供电服务热线95598反映，等待供电局技术人员到现场处理。</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电能表准确度和灵敏度的定义。</w:t>
      </w:r>
    </w:p>
    <w:p>
      <w:pP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表准确度为电能表的精度等级</w:t>
      </w:r>
      <w:r>
        <w:rPr>
          <w:rFonts w:hint="eastAsia" w:asciiTheme="minorEastAsia" w:hAnsiTheme="minorEastAsia" w:cstheme="minorEastAsia"/>
          <w:color w:val="000000" w:themeColor="text1"/>
          <w:sz w:val="28"/>
          <w:szCs w:val="28"/>
          <w:lang w:eastAsia="zh-CN"/>
          <w14:textFill>
            <w14:solidFill>
              <w14:schemeClr w14:val="tx1"/>
            </w14:solidFill>
          </w14:textFill>
        </w:rPr>
        <w:t>。按照国家能源局《电能计量装置技术管理规程》</w:t>
      </w:r>
      <w:r>
        <w:rPr>
          <w:rFonts w:hint="eastAsia" w:asciiTheme="minorEastAsia" w:hAnsiTheme="minorEastAsia" w:cstheme="minorEastAsia"/>
          <w:color w:val="000000" w:themeColor="text1"/>
          <w:sz w:val="28"/>
          <w:szCs w:val="28"/>
          <w:lang w:val="en-US" w:eastAsia="zh-CN"/>
          <w14:textFill>
            <w14:solidFill>
              <w14:schemeClr w14:val="tx1"/>
            </w14:solidFill>
          </w14:textFill>
        </w:rPr>
        <w:t>DL/T448-2016，</w:t>
      </w:r>
      <w:r>
        <w:rPr>
          <w:rFonts w:hint="eastAsia" w:asciiTheme="minorEastAsia" w:hAnsiTheme="minorEastAsia" w:cstheme="minorEastAsia"/>
          <w:color w:val="000000" w:themeColor="text1"/>
          <w:sz w:val="28"/>
          <w:szCs w:val="28"/>
          <w:lang w:eastAsia="zh-CN"/>
          <w14:textFill>
            <w14:solidFill>
              <w14:schemeClr w14:val="tx1"/>
            </w14:solidFill>
          </w14:textFill>
        </w:rPr>
        <w:t>规定居民用单相电能</w:t>
      </w:r>
      <w:r>
        <w:rPr>
          <w:rFonts w:hint="eastAsia" w:asciiTheme="minorEastAsia" w:hAnsiTheme="minorEastAsia" w:cstheme="minorEastAsia"/>
          <w:color w:val="000000" w:themeColor="text1"/>
          <w:sz w:val="28"/>
          <w:szCs w:val="28"/>
          <w14:textFill>
            <w14:solidFill>
              <w14:schemeClr w14:val="tx1"/>
            </w14:solidFill>
          </w14:textFill>
        </w:rPr>
        <w:t>表</w:t>
      </w:r>
      <w:r>
        <w:rPr>
          <w:rFonts w:hint="eastAsia" w:asciiTheme="minorEastAsia" w:hAnsiTheme="minorEastAsia" w:cstheme="minorEastAsia"/>
          <w:color w:val="000000" w:themeColor="text1"/>
          <w:sz w:val="28"/>
          <w:szCs w:val="28"/>
          <w:lang w:eastAsia="zh-CN"/>
          <w14:textFill>
            <w14:solidFill>
              <w14:schemeClr w14:val="tx1"/>
            </w14:solidFill>
          </w14:textFill>
        </w:rPr>
        <w:t>精度等级</w:t>
      </w:r>
      <w:r>
        <w:rPr>
          <w:rFonts w:hint="eastAsia" w:asciiTheme="minorEastAsia" w:hAnsiTheme="minorEastAsia" w:cstheme="minorEastAsia"/>
          <w:color w:val="000000" w:themeColor="text1"/>
          <w:sz w:val="28"/>
          <w:szCs w:val="28"/>
          <w14:textFill>
            <w14:solidFill>
              <w14:schemeClr w14:val="tx1"/>
            </w14:solidFill>
          </w14:textFill>
        </w:rPr>
        <w:t>为2</w:t>
      </w:r>
      <w:r>
        <w:rPr>
          <w:rFonts w:hint="eastAsia" w:asciiTheme="minorEastAsia" w:hAnsiTheme="minorEastAsia" w:cstheme="minorEastAsia"/>
          <w:color w:val="000000" w:themeColor="text1"/>
          <w:sz w:val="28"/>
          <w:szCs w:val="28"/>
          <w:lang w:val="en-US" w:eastAsia="zh-CN"/>
          <w14:textFill>
            <w14:solidFill>
              <w14:schemeClr w14:val="tx1"/>
            </w14:solidFill>
          </w14:textFill>
        </w:rPr>
        <w:t>.0</w:t>
      </w:r>
      <w:r>
        <w:rPr>
          <w:rFonts w:hint="eastAsia" w:asciiTheme="minorEastAsia" w:hAnsiTheme="minorEastAsia" w:cstheme="minorEastAsia"/>
          <w:color w:val="000000" w:themeColor="text1"/>
          <w:sz w:val="28"/>
          <w:szCs w:val="28"/>
          <w14:textFill>
            <w14:solidFill>
              <w14:schemeClr w14:val="tx1"/>
            </w14:solidFill>
          </w14:textFill>
        </w:rPr>
        <w:t>级</w:t>
      </w:r>
      <w:r>
        <w:rPr>
          <w:rFonts w:hint="eastAsia" w:asciiTheme="minorEastAsia" w:hAnsiTheme="minorEastAsia" w:cstheme="minorEastAsia"/>
          <w:color w:val="000000" w:themeColor="text1"/>
          <w:sz w:val="28"/>
          <w:szCs w:val="28"/>
          <w:lang w:eastAsia="zh-CN"/>
          <w14:textFill>
            <w14:solidFill>
              <w14:schemeClr w14:val="tx1"/>
            </w14:solidFill>
          </w14:textFill>
        </w:rPr>
        <w:t>，即居民使用</w:t>
      </w:r>
      <w:r>
        <w:rPr>
          <w:rFonts w:hint="eastAsia" w:asciiTheme="minorEastAsia" w:hAnsiTheme="minorEastAsia" w:cstheme="minorEastAsia"/>
          <w:color w:val="000000" w:themeColor="text1"/>
          <w:sz w:val="28"/>
          <w:szCs w:val="28"/>
          <w:lang w:val="en-US" w:eastAsia="zh-CN"/>
          <w14:textFill>
            <w14:solidFill>
              <w14:schemeClr w14:val="tx1"/>
            </w14:solidFill>
          </w14:textFill>
        </w:rPr>
        <w:t>100度电时，其误差不会超过</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2度</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14:textFill>
            <w14:solidFill>
              <w14:schemeClr w14:val="tx1"/>
            </w14:solidFill>
          </w14:textFill>
        </w:rPr>
        <w:t>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表的灵敏度是指电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表起动电流的大小，直接影响电能表在用电负荷达到多少时开始起动计量电量。</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电能表的工作电压对其计量精度是否有影响？电能表的表前与表后接线的粗细对其计量精度是否有影响？</w:t>
      </w:r>
    </w:p>
    <w:p>
      <w:pPr>
        <w:rPr>
          <w:rFonts w:hint="eastAsia"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1）电能表计量的是一段时间内的功率累计值，功率等于电压与电流的乘积，</w:t>
      </w:r>
      <w:r>
        <w:rPr>
          <w:rFonts w:hint="eastAsia" w:asciiTheme="minorEastAsia" w:hAnsiTheme="minorEastAsia" w:cstheme="minorEastAsia"/>
          <w:color w:val="000000" w:themeColor="text1"/>
          <w:sz w:val="28"/>
          <w:szCs w:val="28"/>
          <w:lang w:eastAsia="zh-CN"/>
          <w14:textFill>
            <w14:solidFill>
              <w14:schemeClr w14:val="tx1"/>
            </w14:solidFill>
          </w14:textFill>
        </w:rPr>
        <w:t>只要电能表能够正常上电工作，其工作电压的大小对计量精度没有影响；</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lang w:eastAsia="zh-CN"/>
          <w14:textFill>
            <w14:solidFill>
              <w14:schemeClr w14:val="tx1"/>
            </w14:solidFill>
          </w14:textFill>
        </w:rPr>
        <w:t>电能表的表前与表后接线的粗细对其计量精度没有影响，供电局一般会结合用户的用电负荷选择粗细合理的接线</w:t>
      </w:r>
      <w:r>
        <w:rPr>
          <w:rFonts w:hint="eastAsia" w:asciiTheme="minorEastAsia" w:hAnsiTheme="minorEastAsia" w:cstheme="minorEastAsia"/>
          <w:color w:val="000000" w:themeColor="text1"/>
          <w:sz w:val="28"/>
          <w:szCs w:val="28"/>
          <w14:textFill>
            <w14:solidFill>
              <w14:schemeClr w14:val="tx1"/>
            </w14:solidFill>
          </w14:textFill>
        </w:rPr>
        <w:t>。</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什么是远程集抄？集中器、采集器是否会使用客户的电量？集中器、采集器是否会造成客户电费异常？集中器、采集器的安装位置是如何确定的？</w:t>
      </w:r>
    </w:p>
    <w:p>
      <w:pPr>
        <w:rPr>
          <w:rFonts w:asciiTheme="minorEastAsia" w:hAnsiTheme="minorEastAsia" w:cstheme="minorEastAsia"/>
          <w:b w:val="0"/>
          <w:bCs w:val="0"/>
          <w:color w:val="000000" w:themeColor="text1"/>
          <w:sz w:val="28"/>
          <w:szCs w:val="28"/>
          <w14:textFill>
            <w14:solidFill>
              <w14:schemeClr w14:val="tx1"/>
            </w14:solidFill>
          </w14:textFill>
        </w:rPr>
      </w:pPr>
      <w:r>
        <w:rPr>
          <w:rFonts w:hint="eastAsia" w:asciiTheme="minorEastAsia" w:hAnsiTheme="minorEastAsia" w:cstheme="minorEastAsia"/>
          <w:b w:val="0"/>
          <w:bCs w:val="0"/>
          <w:color w:val="000000" w:themeColor="text1"/>
          <w:sz w:val="28"/>
          <w:szCs w:val="28"/>
          <w14:textFill>
            <w14:solidFill>
              <w14:schemeClr w14:val="tx1"/>
            </w14:solidFill>
          </w14:textFill>
        </w:rPr>
        <w:t>答：</w:t>
      </w:r>
      <w:r>
        <w:rPr>
          <w:rFonts w:hint="eastAsia" w:asciiTheme="minorEastAsia" w:hAnsiTheme="minorEastAsia" w:cstheme="minorEastAsia"/>
          <w:b w:val="0"/>
          <w:bCs w:val="0"/>
          <w:color w:val="000000" w:themeColor="text1"/>
          <w:sz w:val="28"/>
          <w:szCs w:val="28"/>
          <w:lang w:val="en-US" w:eastAsia="zh-CN"/>
          <w14:textFill>
            <w14:solidFill>
              <w14:schemeClr w14:val="tx1"/>
            </w14:solidFill>
          </w14:textFill>
        </w:rPr>
        <w:t>1）电能量采集系统使用特有的采集装置及通信方式，实现电能表用电数据的远程抄收；2）</w:t>
      </w:r>
      <w:r>
        <w:rPr>
          <w:rFonts w:hint="eastAsia" w:asciiTheme="minorEastAsia" w:hAnsiTheme="minorEastAsia" w:cstheme="minorEastAsia"/>
          <w:b w:val="0"/>
          <w:bCs w:val="0"/>
          <w:color w:val="000000" w:themeColor="text1"/>
          <w:sz w:val="28"/>
          <w:szCs w:val="28"/>
          <w:lang w:eastAsia="zh-CN"/>
          <w14:textFill>
            <w14:solidFill>
              <w14:schemeClr w14:val="tx1"/>
            </w14:solidFill>
          </w14:textFill>
        </w:rPr>
        <w:t>集中器、</w:t>
      </w:r>
      <w:r>
        <w:rPr>
          <w:rFonts w:hint="eastAsia" w:asciiTheme="minorEastAsia" w:hAnsiTheme="minorEastAsia" w:cstheme="minorEastAsia"/>
          <w:b w:val="0"/>
          <w:bCs w:val="0"/>
          <w:color w:val="000000" w:themeColor="text1"/>
          <w:sz w:val="28"/>
          <w:szCs w:val="28"/>
          <w:lang w:val="en-US" w:eastAsia="zh-CN"/>
          <w14:textFill>
            <w14:solidFill>
              <w14:schemeClr w14:val="tx1"/>
            </w14:solidFill>
          </w14:textFill>
        </w:rPr>
        <w:t>采集器的供电由表前供电局线路提供，不使用客户的电量；3）</w:t>
      </w:r>
      <w:r>
        <w:rPr>
          <w:rFonts w:hint="eastAsia" w:asciiTheme="minorEastAsia" w:hAnsiTheme="minorEastAsia" w:cstheme="minorEastAsia"/>
          <w:b w:val="0"/>
          <w:bCs w:val="0"/>
          <w:color w:val="000000" w:themeColor="text1"/>
          <w:sz w:val="28"/>
          <w:szCs w:val="28"/>
          <w:lang w:eastAsia="zh-CN"/>
          <w14:textFill>
            <w14:solidFill>
              <w14:schemeClr w14:val="tx1"/>
            </w14:solidFill>
          </w14:textFill>
        </w:rPr>
        <w:t>集中器、</w:t>
      </w:r>
      <w:r>
        <w:rPr>
          <w:rFonts w:hint="eastAsia" w:asciiTheme="minorEastAsia" w:hAnsiTheme="minorEastAsia" w:cstheme="minorEastAsia"/>
          <w:b w:val="0"/>
          <w:bCs w:val="0"/>
          <w:color w:val="000000" w:themeColor="text1"/>
          <w:sz w:val="28"/>
          <w:szCs w:val="28"/>
          <w:lang w:val="en-US" w:eastAsia="zh-CN"/>
          <w14:textFill>
            <w14:solidFill>
              <w14:schemeClr w14:val="tx1"/>
            </w14:solidFill>
          </w14:textFill>
        </w:rPr>
        <w:t>采集器只负责客户用电数据的采集，不会更改客户的用电量信息，更不会造成客户电费的异常；4）</w:t>
      </w:r>
      <w:r>
        <w:rPr>
          <w:rFonts w:hint="eastAsia" w:asciiTheme="minorEastAsia" w:hAnsiTheme="minorEastAsia" w:cstheme="minorEastAsia"/>
          <w:b w:val="0"/>
          <w:bCs w:val="0"/>
          <w:color w:val="000000" w:themeColor="text1"/>
          <w:sz w:val="28"/>
          <w:szCs w:val="28"/>
          <w:lang w:eastAsia="zh-CN"/>
          <w14:textFill>
            <w14:solidFill>
              <w14:schemeClr w14:val="tx1"/>
            </w14:solidFill>
          </w14:textFill>
        </w:rPr>
        <w:t>集中器、</w:t>
      </w:r>
      <w:r>
        <w:rPr>
          <w:rFonts w:hint="eastAsia" w:asciiTheme="minorEastAsia" w:hAnsiTheme="minorEastAsia" w:cstheme="minorEastAsia"/>
          <w:b w:val="0"/>
          <w:bCs w:val="0"/>
          <w:color w:val="000000" w:themeColor="text1"/>
          <w:sz w:val="28"/>
          <w:szCs w:val="28"/>
          <w:lang w:val="en-US" w:eastAsia="zh-CN"/>
          <w14:textFill>
            <w14:solidFill>
              <w14:schemeClr w14:val="tx1"/>
            </w14:solidFill>
          </w14:textFill>
        </w:rPr>
        <w:t>采集器通常在不影响客户正常用电的情况下选择合适的位置安装，按照典型设计采集器原则上安装在表箱内，集中器原则上单独安装在靠近变压器的综合配电箱或表箱内。</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供电局电能表的校验过程是什么？客户如何确定电能表计量的准确性？</w:t>
      </w:r>
    </w:p>
    <w:p>
      <w:pP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1）供电局使用通过当地技术监督局认可标准检定装置，依据国家标准</w:t>
      </w:r>
      <w:r>
        <w:rPr>
          <w:rFonts w:hint="eastAsia" w:asciiTheme="minorEastAsia" w:hAnsiTheme="minorEastAsia" w:cstheme="minorEastAsia"/>
          <w:color w:val="000000" w:themeColor="text1"/>
          <w:sz w:val="28"/>
          <w:szCs w:val="28"/>
          <w14:textFill>
            <w14:solidFill>
              <w14:schemeClr w14:val="tx1"/>
            </w14:solidFill>
          </w14:textFill>
        </w:rPr>
        <w:t>《电子式交流电能表检定规程》</w:t>
      </w:r>
      <w:r>
        <w:rPr>
          <w:rFonts w:hint="eastAsia" w:asciiTheme="minorEastAsia" w:hAnsiTheme="minorEastAsia" w:cstheme="minorEastAsia"/>
          <w:color w:val="000000" w:themeColor="text1"/>
          <w:sz w:val="28"/>
          <w:szCs w:val="28"/>
          <w:lang w:eastAsia="zh-CN"/>
          <w14:textFill>
            <w14:solidFill>
              <w14:schemeClr w14:val="tx1"/>
            </w14:solidFill>
          </w14:textFill>
        </w:rPr>
        <w:t>的要求，开展电能表的校验工作</w:t>
      </w:r>
      <w:r>
        <w:rPr>
          <w:rFonts w:hint="eastAsia" w:asciiTheme="minorEastAsia" w:hAnsiTheme="minorEastAsia" w:cstheme="minorEastAsia"/>
          <w:color w:val="000000" w:themeColor="text1"/>
          <w:sz w:val="28"/>
          <w:szCs w:val="28"/>
          <w:lang w:val="en-US" w:eastAsia="zh-CN"/>
          <w14:textFill>
            <w14:solidFill>
              <w14:schemeClr w14:val="tx1"/>
            </w14:solidFill>
          </w14:textFill>
        </w:rPr>
        <w:t>；2）客户如果感觉所用电能表计量不准，可以向当地供电局提出复检申请，在供电局专业技术人员的陪同下使用标准检定装置开展电能表的复检工作</w:t>
      </w:r>
      <w:r>
        <w:rPr>
          <w:rFonts w:hint="eastAsia"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eastAsia="zh-CN"/>
          <w14:textFill>
            <w14:solidFill>
              <w14:schemeClr w14:val="tx1"/>
            </w14:solidFill>
          </w14:textFill>
        </w:rPr>
        <w:t>客户如对复检结果仍然不认同，可向当地质量技术监督局申请仲裁检定。（在申请验表期间，其电费应按时交纳，验表结果确认后，再行追退补电量。）</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为什么要轮换电能表？居民用电能表的轮换周期是多久？</w:t>
      </w: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运行中的电能表由于受到温湿度等环境条件的影响，加上自身元器件的老化，可能出现计量误差超差的情况，为了保证居民用电能表的计量准确性，电能表工作一段时间后需要进行轮换；2）根据电力行业标准DL/T448《电能计量装置技术管理规程》的规定，供电局可以根据电能表的实际使用情况进行周期轮换，考虑到电能表的性能和使用条件，供电局一般将居民用电能表的轮换周期设为8到10年。</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电能表轮换有哪些流程？电能表轮换后电费如何计算？</w:t>
      </w:r>
    </w:p>
    <w:p>
      <w:pP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供电局首先会结合电能表的使用年限制定轮换计划，然后到现场进行电能表更换，最后进行更换后电能表的资料整理归档，保证居民用电计费的准确；2）电能表轮换当月，供电局将结合更换前电能表与更换后电能表的当月用电量进行计费。</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居民用电能表在运行中，发生电能表损坏现象，居民是否需要承担相应的赔付责任？</w:t>
      </w:r>
    </w:p>
    <w:p>
      <w:pPr>
        <w:numPr>
          <w:ilvl w:val="0"/>
          <w:numId w:val="0"/>
        </w:numPr>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按照供电局同居民之间的《居民供用电协议》，居民用电能表产权属于供电局，用电方应妥善保管并采取适当措施避免外力和第三方破坏。电能表在运行中发生损坏，供电局将会派专业技术人员到现场核查，若电能表是因为元器件老化或自身质量缺陷造成的损坏，供电局将免费为居民更换电能表，若电能表是因为人为原因故意造成的损坏，相关责任人应进行赔偿，供电局将进行电量追补并保留追究相应责任人法律责任的权利。</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电网公司如何确定电能表供应厂商？符合国家标准的电能表有何标志？</w:t>
      </w:r>
    </w:p>
    <w:p>
      <w:pPr>
        <w:rPr>
          <w:rFonts w:hint="eastAsia"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val="en-US" w:eastAsia="zh-CN"/>
          <w14:textFill>
            <w14:solidFill>
              <w14:schemeClr w14:val="tx1"/>
            </w14:solidFill>
          </w14:textFill>
        </w:rPr>
        <w:t>1）</w:t>
      </w:r>
      <w:r>
        <w:rPr>
          <w:rFonts w:hint="eastAsia" w:asciiTheme="minorEastAsia" w:hAnsiTheme="minorEastAsia" w:cstheme="minorEastAsia"/>
          <w:color w:val="000000" w:themeColor="text1"/>
          <w:sz w:val="28"/>
          <w:szCs w:val="28"/>
          <w:lang w:eastAsia="zh-CN"/>
          <w14:textFill>
            <w14:solidFill>
              <w14:schemeClr w14:val="tx1"/>
            </w14:solidFill>
          </w14:textFill>
        </w:rPr>
        <w:t>电网公司依据《中华人民共和国招标投标法》对电能表供应厂商进行公开招标，并经过严格公正的评标后确定电能表供应厂商；</w:t>
      </w:r>
      <w:r>
        <w:rPr>
          <w:rFonts w:hint="eastAsia" w:asciiTheme="minorEastAsia" w:hAnsiTheme="minorEastAsia" w:cstheme="minorEastAsia"/>
          <w:color w:val="000000" w:themeColor="text1"/>
          <w:sz w:val="28"/>
          <w:szCs w:val="28"/>
          <w:lang w:val="en-US" w:eastAsia="zh-CN"/>
          <w14:textFill>
            <w14:solidFill>
              <w14:schemeClr w14:val="tx1"/>
            </w14:solidFill>
          </w14:textFill>
        </w:rPr>
        <w:t>2）</w:t>
      </w:r>
      <w:r>
        <w:rPr>
          <w:rFonts w:hint="eastAsia" w:asciiTheme="minorEastAsia" w:hAnsiTheme="minorEastAsia" w:cstheme="minorEastAsia"/>
          <w:color w:val="000000" w:themeColor="text1"/>
          <w:sz w:val="28"/>
          <w:szCs w:val="28"/>
          <w14:textFill>
            <w14:solidFill>
              <w14:schemeClr w14:val="tx1"/>
            </w14:solidFill>
          </w14:textFill>
        </w:rPr>
        <w:t>符合国家标准的电</w:t>
      </w:r>
      <w:r>
        <w:rPr>
          <w:rFonts w:hint="eastAsia" w:asciiTheme="minorEastAsia" w:hAnsiTheme="minorEastAsia" w:cstheme="minorEastAsia"/>
          <w:color w:val="000000" w:themeColor="text1"/>
          <w:sz w:val="28"/>
          <w:szCs w:val="28"/>
          <w:lang w:eastAsia="zh-CN"/>
          <w14:textFill>
            <w14:solidFill>
              <w14:schemeClr w14:val="tx1"/>
            </w14:solidFill>
          </w14:textFill>
        </w:rPr>
        <w:t>能</w:t>
      </w:r>
      <w:r>
        <w:rPr>
          <w:rFonts w:hint="eastAsia" w:asciiTheme="minorEastAsia" w:hAnsiTheme="minorEastAsia" w:cstheme="minorEastAsia"/>
          <w:color w:val="000000" w:themeColor="text1"/>
          <w:sz w:val="28"/>
          <w:szCs w:val="28"/>
          <w14:textFill>
            <w14:solidFill>
              <w14:schemeClr w14:val="tx1"/>
            </w14:solidFill>
          </w14:textFill>
        </w:rPr>
        <w:t>表在铭牌上有制造计量器具许可证</w:t>
      </w:r>
      <w:r>
        <w:rPr>
          <w:rFonts w:hint="eastAsia" w:asciiTheme="minorEastAsia" w:hAnsiTheme="minorEastAsia" w:cstheme="minorEastAsia"/>
          <w:color w:val="000000" w:themeColor="text1"/>
          <w:sz w:val="28"/>
          <w:szCs w:val="28"/>
          <w:lang w:eastAsia="zh-CN"/>
          <w14:textFill>
            <w14:solidFill>
              <w14:schemeClr w14:val="tx1"/>
            </w14:solidFill>
          </w14:textFill>
        </w:rPr>
        <w:t>（即</w:t>
      </w:r>
      <w:r>
        <w:rPr>
          <w:rFonts w:hint="eastAsia" w:asciiTheme="minorEastAsia" w:hAnsiTheme="minorEastAsia" w:cstheme="minorEastAsia"/>
          <w:color w:val="000000" w:themeColor="text1"/>
          <w:sz w:val="28"/>
          <w:szCs w:val="28"/>
          <w14:textFill>
            <w14:solidFill>
              <w14:schemeClr w14:val="tx1"/>
            </w14:solidFill>
          </w14:textFill>
        </w:rPr>
        <w:t>CMC证</w:t>
      </w:r>
      <w:r>
        <w:rPr>
          <w:rFonts w:hint="eastAsia" w:asciiTheme="minorEastAsia" w:hAnsiTheme="minorEastAsia" w:cstheme="minorEastAsia"/>
          <w:color w:val="000000" w:themeColor="text1"/>
          <w:sz w:val="28"/>
          <w:szCs w:val="28"/>
          <w:lang w:eastAsia="zh-CN"/>
          <w14:textFill>
            <w14:solidFill>
              <w14:schemeClr w14:val="tx1"/>
            </w14:solidFill>
          </w14:textFill>
        </w:rPr>
        <w:t>）的标志</w:t>
      </w:r>
      <w:r>
        <w:rPr>
          <w:rFonts w:hint="eastAsia" w:asciiTheme="minorEastAsia" w:hAnsiTheme="minorEastAsia" w:cstheme="minorEastAsia"/>
          <w:color w:val="000000" w:themeColor="text1"/>
          <w:sz w:val="28"/>
          <w:szCs w:val="28"/>
          <w14:textFill>
            <w14:solidFill>
              <w14:schemeClr w14:val="tx1"/>
            </w14:solidFill>
          </w14:textFill>
        </w:rPr>
        <w:t>。</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电能表的制造厂商不同，其计量准确性是否会不同？</w:t>
      </w:r>
    </w:p>
    <w:p>
      <w:pP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任何电能表制造厂生产的电能表都需要进行检定，只有检定结果满足国家标准</w:t>
      </w:r>
      <w:r>
        <w:rPr>
          <w:rFonts w:hint="eastAsia" w:asciiTheme="minorEastAsia" w:hAnsiTheme="minorEastAsia" w:cstheme="minorEastAsia"/>
          <w:color w:val="000000" w:themeColor="text1"/>
          <w:sz w:val="28"/>
          <w:szCs w:val="28"/>
          <w14:textFill>
            <w14:solidFill>
              <w14:schemeClr w14:val="tx1"/>
            </w14:solidFill>
          </w14:textFill>
        </w:rPr>
        <w:t>《电子式交流电能表检定规程》</w:t>
      </w:r>
      <w:r>
        <w:rPr>
          <w:rFonts w:hint="eastAsia" w:asciiTheme="minorEastAsia" w:hAnsiTheme="minorEastAsia" w:cstheme="minorEastAsia"/>
          <w:color w:val="000000" w:themeColor="text1"/>
          <w:sz w:val="28"/>
          <w:szCs w:val="28"/>
          <w:lang w:eastAsia="zh-CN"/>
          <w14:textFill>
            <w14:solidFill>
              <w14:schemeClr w14:val="tx1"/>
            </w14:solidFill>
          </w14:textFill>
        </w:rPr>
        <w:t>的要求后才能出厂供货，以保证居民家电能表的计量准确性；</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客户能否使用自己购买的电能表进行用电量计量？</w:t>
      </w:r>
    </w:p>
    <w:p>
      <w:pPr>
        <w:rPr>
          <w:rFonts w:hint="eastAsia" w:asciiTheme="minorEastAsia" w:hAnsi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t>答：</w:t>
      </w:r>
      <w:r>
        <w:rPr>
          <w:rFonts w:hint="eastAsia" w:asciiTheme="minorEastAsia" w:hAnsiTheme="minorEastAsia" w:cstheme="minorEastAsia"/>
          <w:color w:val="000000" w:themeColor="text1"/>
          <w:sz w:val="28"/>
          <w:szCs w:val="28"/>
          <w:lang w:eastAsia="zh-CN"/>
          <w14:textFill>
            <w14:solidFill>
              <w14:schemeClr w14:val="tx1"/>
            </w14:solidFill>
          </w14:textFill>
        </w:rPr>
        <w:t>根据</w:t>
      </w:r>
      <w:r>
        <w:rPr>
          <w:rFonts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eastAsia="zh-CN"/>
          <w14:textFill>
            <w14:solidFill>
              <w14:schemeClr w14:val="tx1"/>
            </w14:solidFill>
          </w14:textFill>
        </w:rPr>
        <w:t>中华人民共和国</w:t>
      </w:r>
      <w:r>
        <w:rPr>
          <w:rFonts w:asciiTheme="minorEastAsia" w:hAnsiTheme="minorEastAsia" w:cstheme="minorEastAsia"/>
          <w:color w:val="000000" w:themeColor="text1"/>
          <w:sz w:val="28"/>
          <w:szCs w:val="28"/>
          <w14:textFill>
            <w14:solidFill>
              <w14:schemeClr w14:val="tx1"/>
            </w14:solidFill>
          </w14:textFill>
        </w:rPr>
        <w:t>电力法</w:t>
      </w:r>
      <w:r>
        <w:rPr>
          <w:rFonts w:hint="eastAsia" w:asciiTheme="minorEastAsia" w:hAnsiTheme="minorEastAsia" w:cstheme="minorEastAsia"/>
          <w:color w:val="000000" w:themeColor="text1"/>
          <w:sz w:val="28"/>
          <w:szCs w:val="28"/>
          <w:lang w:eastAsia="zh-CN"/>
          <w14:textFill>
            <w14:solidFill>
              <w14:schemeClr w14:val="tx1"/>
            </w14:solidFill>
          </w14:textFill>
        </w:rPr>
        <w:t>供电营业规则</w:t>
      </w:r>
      <w:r>
        <w:rPr>
          <w:rFonts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eastAsia="zh-CN"/>
          <w14:textFill>
            <w14:solidFill>
              <w14:schemeClr w14:val="tx1"/>
            </w14:solidFill>
          </w14:textFill>
        </w:rPr>
        <w:t>的规定：“用户为满足内部核算的需要，可自行在其内部装设考核能耗用的电能表，但该表所示读数不得作为供电企业计费依据。”所以客户自行购置的电能表，只能与供电局安装的电能表进行比对使用，不能用来当做电费核算依据。</w:t>
      </w:r>
    </w:p>
    <w:p>
      <w:pPr>
        <w:numPr>
          <w:ilvl w:val="0"/>
          <w:numId w:val="1"/>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智能电表的质量有保证吗？电能表的制造厂商是否会受电网公司的指使，故意调快电能表？</w:t>
      </w: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答：（1）智能电表的质量是有保证的，从生产到安装使用将经过“六道关口”，如下图：</w:t>
      </w: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r>
        <w:rPr>
          <w:color w:val="000000" w:themeColor="text1"/>
          <w:sz w:val="28"/>
          <w14:textFill>
            <w14:solidFill>
              <w14:schemeClr w14:val="tx1"/>
            </w14:solidFill>
          </w14:textFill>
        </w:rPr>
        <w:pict>
          <v:group id="_x0000_s1041" o:spid="_x0000_s1041" o:spt="203" style="position:absolute;left:0pt;margin-left:47.15pt;margin-top:6.05pt;height:160.8pt;width:302.25pt;z-index:251658240;mso-width-relative:page;mso-height-relative:page;" coordorigin="5805,111743" coordsize="6045,3216">
            <o:lock v:ext="edit" aspectratio="f"/>
            <v:roundrect id="_x0000_s1026" o:spid="_x0000_s1026" o:spt="2" style="position:absolute;left:5805;top:112290;height:1829;width:630;" fillcolor="#FFC000" filled="t" stroked="t" coordsize="21600,21600" arcsize="0.166666666666667">
              <v:path/>
              <v:fill on="t" focussize="0,0"/>
              <v:stroke color="#000000"/>
              <v:imagedata o:title=""/>
              <o:lock v:ext="edit" aspectratio="f"/>
              <v:textbox>
                <w:txbxContent>
                  <w:p>
                    <w:pPr>
                      <w:jc w:val="center"/>
                      <w:rPr>
                        <w:rFonts w:hint="eastAsia" w:eastAsiaTheme="minorEastAsia"/>
                        <w:lang w:eastAsia="zh-CN"/>
                      </w:rPr>
                    </w:pPr>
                    <w:r>
                      <w:rPr>
                        <w:rFonts w:hint="eastAsia"/>
                        <w:lang w:val="en-US" w:eastAsia="zh-CN"/>
                      </w:rPr>
                      <w:t xml:space="preserve"> </w:t>
                    </w:r>
                    <w:r>
                      <w:rPr>
                        <w:rFonts w:hint="eastAsia"/>
                        <w:b/>
                        <w:bCs/>
                        <w:lang w:eastAsia="zh-CN"/>
                      </w:rPr>
                      <w:t>六道关</w:t>
                    </w:r>
                  </w:p>
                </w:txbxContent>
              </v:textbox>
            </v:roundrect>
            <v:roundrect id="_x0000_s1027" o:spid="_x0000_s1027" o:spt="2" style="position:absolute;left:7020;top:111831;height:1095;width:630;" fillcolor="#C00000" filled="t" stroked="t" coordsize="21600,21600" arcsize="0.166666666666667">
              <v:path/>
              <v:fill on="t" color2="#FFFFFF" focussize="0,0"/>
              <v:stroke color="#000000"/>
              <v:imagedata o:title=""/>
              <o:lock v:ext="edit" aspectratio="f"/>
              <v:textbox>
                <w:txbxContent>
                  <w:p>
                    <w:pPr>
                      <w:jc w:val="center"/>
                      <w:rPr>
                        <w:rFonts w:hint="eastAsia" w:eastAsiaTheme="minorEastAsia"/>
                        <w:b/>
                        <w:bCs/>
                        <w:lang w:eastAsia="zh-CN"/>
                      </w:rPr>
                    </w:pPr>
                    <w:r>
                      <w:rPr>
                        <w:rFonts w:hint="eastAsia"/>
                        <w:b/>
                        <w:bCs/>
                        <w:lang w:eastAsia="zh-CN"/>
                      </w:rPr>
                      <w:t>电表厂</w:t>
                    </w:r>
                  </w:p>
                </w:txbxContent>
              </v:textbox>
            </v:roundrect>
            <v:roundrect id="_x0000_s1028" o:spid="_x0000_s1028" o:spt="2" style="position:absolute;left:7020;top:113655;height:1095;width:630;" fillcolor="#C00000" filled="t" stroked="t" coordsize="21600,21600" arcsize="0.166666666666667">
              <v:path/>
              <v:fill on="t" color2="#FFFFFF" focussize="0,0"/>
              <v:stroke color="#000000"/>
              <v:imagedata o:title=""/>
              <o:lock v:ext="edit" aspectratio="f"/>
              <v:textbox>
                <w:txbxContent>
                  <w:p>
                    <w:pPr>
                      <w:jc w:val="center"/>
                      <w:rPr>
                        <w:rFonts w:hint="eastAsia" w:eastAsiaTheme="minorEastAsia"/>
                        <w:b/>
                        <w:bCs/>
                        <w:lang w:eastAsia="zh-CN"/>
                      </w:rPr>
                    </w:pPr>
                    <w:r>
                      <w:rPr>
                        <w:rFonts w:hint="eastAsia"/>
                        <w:b/>
                        <w:bCs/>
                        <w:lang w:eastAsia="zh-CN"/>
                      </w:rPr>
                      <w:t>供电局</w:t>
                    </w:r>
                  </w:p>
                </w:txbxContent>
              </v:textbox>
            </v:roundrect>
            <v:roundrect id="_x0000_s1029" o:spid="_x0000_s1029" o:spt="2" style="position:absolute;left:8520;top:111772;height:1319;width:495;" fillcolor="#0070C0" filled="t" stroked="t" coordsize="21600,21600" arcsize="0.166666666666667">
              <v:path/>
              <v:fill on="t" color2="#FFFFFF" focussize="0,0"/>
              <v:stroke color="#000000"/>
              <v:imagedata o:title=""/>
              <o:lock v:ext="edit" aspectratio="f"/>
              <v:textbox>
                <w:txbxContent>
                  <w:p>
                    <w:pPr>
                      <w:jc w:val="center"/>
                      <w:rPr>
                        <w:rFonts w:hint="eastAsia" w:eastAsiaTheme="minorEastAsia"/>
                        <w:lang w:eastAsia="zh-CN"/>
                      </w:rPr>
                    </w:pPr>
                    <w:r>
                      <w:rPr>
                        <w:rFonts w:hint="eastAsia"/>
                        <w:lang w:val="en-US" w:eastAsia="zh-CN"/>
                      </w:rPr>
                      <w:t xml:space="preserve"> </w:t>
                    </w:r>
                    <w:r>
                      <w:rPr>
                        <w:rFonts w:hint="eastAsia"/>
                        <w:b/>
                        <w:bCs/>
                        <w:lang w:eastAsia="zh-CN"/>
                      </w:rPr>
                      <w:t>一校</w:t>
                    </w:r>
                  </w:p>
                </w:txbxContent>
              </v:textbox>
            </v:roundrect>
            <v:roundrect id="_x0000_s1030" o:spid="_x0000_s1030" o:spt="2" style="position:absolute;left:8520;top:113491;height:1469;width:495;" fillcolor="#0070C0" filled="t" stroked="t" coordsize="21600,21600" arcsize="0.166666666666667">
              <v:path/>
              <v:fill on="t" color2="#FFFFFF" focussize="0,0"/>
              <v:stroke color="#000000"/>
              <v:imagedata o:title=""/>
              <o:lock v:ext="edit" aspectratio="f"/>
              <v:textbox>
                <w:txbxContent>
                  <w:p>
                    <w:pPr>
                      <w:jc w:val="center"/>
                      <w:rPr>
                        <w:rFonts w:hint="eastAsia" w:eastAsiaTheme="minorEastAsia"/>
                        <w:lang w:eastAsia="zh-CN"/>
                      </w:rPr>
                    </w:pPr>
                    <w:r>
                      <w:rPr>
                        <w:rFonts w:hint="eastAsia"/>
                        <w:lang w:val="en-US" w:eastAsia="zh-CN"/>
                      </w:rPr>
                      <w:t xml:space="preserve"> </w:t>
                    </w:r>
                    <w:r>
                      <w:rPr>
                        <w:rFonts w:hint="eastAsia"/>
                        <w:b/>
                        <w:bCs/>
                        <w:lang w:eastAsia="zh-CN"/>
                      </w:rPr>
                      <w:t>准入</w:t>
                    </w:r>
                  </w:p>
                </w:txbxContent>
              </v:textbox>
            </v:roundrect>
            <v:roundrect id="_x0000_s1031" o:spid="_x0000_s1031" o:spt="2" style="position:absolute;left:9945;top:113505;height:1392;width:556;" fillcolor="#0070C0" filled="t" stroked="t" coordsize="21600,21600" arcsize="0.166666666666667">
              <v:path/>
              <v:fill on="t" color2="#FFFFFF" focussize="0,0"/>
              <v:stroke color="#000000"/>
              <v:imagedata o:title=""/>
              <o:lock v:ext="edit" aspectratio="f"/>
              <v:textbox>
                <w:txbxContent>
                  <w:p>
                    <w:pPr>
                      <w:rPr>
                        <w:rFonts w:hint="eastAsia" w:eastAsiaTheme="minorEastAsia"/>
                        <w:b/>
                        <w:bCs/>
                        <w:lang w:eastAsia="zh-CN"/>
                      </w:rPr>
                    </w:pPr>
                    <w:r>
                      <w:rPr>
                        <w:rFonts w:hint="eastAsia"/>
                        <w:b/>
                        <w:bCs/>
                        <w:lang w:eastAsia="zh-CN"/>
                      </w:rPr>
                      <w:t>强制检定</w:t>
                    </w:r>
                  </w:p>
                </w:txbxContent>
              </v:textbox>
            </v:roundrect>
            <v:roundrect id="_x0000_s1032" o:spid="_x0000_s1032" o:spt="2" style="position:absolute;left:9990;top:111757;height:1363;width:495;" fillcolor="#0070C0" filled="t" stroked="t" coordsize="21600,21600" arcsize="0.166666666666667">
              <v:path/>
              <v:fill on="t" color2="#FFFFFF" focussize="0,0"/>
              <v:stroke color="#000000"/>
              <v:imagedata o:title=""/>
              <o:lock v:ext="edit" aspectratio="f"/>
              <v:textbox>
                <w:txbxContent>
                  <w:p>
                    <w:pPr>
                      <w:jc w:val="center"/>
                      <w:rPr>
                        <w:rFonts w:hint="eastAsia" w:eastAsiaTheme="minorEastAsia"/>
                        <w:lang w:eastAsia="zh-CN"/>
                      </w:rPr>
                    </w:pPr>
                    <w:r>
                      <w:rPr>
                        <w:rFonts w:hint="eastAsia"/>
                        <w:lang w:val="en-US" w:eastAsia="zh-CN"/>
                      </w:rPr>
                      <w:t xml:space="preserve"> </w:t>
                    </w:r>
                    <w:r>
                      <w:rPr>
                        <w:rFonts w:hint="eastAsia"/>
                        <w:b/>
                        <w:bCs/>
                        <w:lang w:eastAsia="zh-CN"/>
                      </w:rPr>
                      <w:t>二校</w:t>
                    </w:r>
                  </w:p>
                </w:txbxContent>
              </v:textbox>
            </v:roundrect>
            <v:roundrect id="_x0000_s1034" o:spid="_x0000_s1034" o:spt="2" style="position:absolute;left:11340;top:113505;height:1425;width:511;" fillcolor="#0070C0" filled="t" stroked="t" coordsize="21600,21600" arcsize="0.166666666666667">
              <v:path/>
              <v:fill on="t" color2="#FFFFFF" focussize="0,0"/>
              <v:stroke color="#000000"/>
              <v:imagedata o:title=""/>
              <o:lock v:ext="edit" aspectratio="f"/>
              <v:textbox>
                <w:txbxContent>
                  <w:p>
                    <w:pPr>
                      <w:rPr>
                        <w:rFonts w:hint="eastAsia" w:eastAsiaTheme="minorEastAsia"/>
                        <w:lang w:eastAsia="zh-CN"/>
                      </w:rPr>
                    </w:pPr>
                    <w:r>
                      <w:rPr>
                        <w:rFonts w:hint="eastAsia"/>
                        <w:lang w:val="en-US" w:eastAsia="zh-CN"/>
                      </w:rPr>
                      <w:t xml:space="preserve"> </w:t>
                    </w:r>
                    <w:r>
                      <w:rPr>
                        <w:rFonts w:hint="eastAsia"/>
                        <w:b/>
                        <w:bCs/>
                        <w:lang w:eastAsia="zh-CN"/>
                      </w:rPr>
                      <w:t>抽检</w:t>
                    </w:r>
                  </w:p>
                </w:txbxContent>
              </v:textbox>
            </v:roundrect>
            <v:roundrect id="_x0000_s1033" o:spid="_x0000_s1033" o:spt="2" style="position:absolute;left:11310;top:111743;height:1318;width:511;" fillcolor="#0070C0" filled="t" stroked="t" coordsize="21600,21600" arcsize="0.166666666666667">
              <v:path/>
              <v:fill on="t" color2="#FFFFFF" focussize="0,0"/>
              <v:stroke color="#000000"/>
              <v:imagedata o:title=""/>
              <o:lock v:ext="edit" aspectratio="f"/>
              <v:textbox>
                <w:txbxContent>
                  <w:p>
                    <w:pPr>
                      <w:jc w:val="center"/>
                      <w:rPr>
                        <w:rFonts w:hint="eastAsia" w:eastAsiaTheme="minorEastAsia"/>
                        <w:lang w:eastAsia="zh-CN"/>
                      </w:rPr>
                    </w:pPr>
                    <w:r>
                      <w:rPr>
                        <w:rFonts w:hint="eastAsia"/>
                        <w:lang w:val="en-US" w:eastAsia="zh-CN"/>
                      </w:rPr>
                      <w:t xml:space="preserve"> </w:t>
                    </w:r>
                    <w:r>
                      <w:rPr>
                        <w:rFonts w:hint="eastAsia"/>
                        <w:b/>
                        <w:bCs/>
                        <w:lang w:eastAsia="zh-CN"/>
                      </w:rPr>
                      <w:t>抽检</w:t>
                    </w:r>
                  </w:p>
                </w:txbxContent>
              </v:textbox>
            </v:roundrect>
            <v:shape id="_x0000_s1035" o:spid="_x0000_s1035" o:spt="13" type="#_x0000_t13" style="position:absolute;left:7770;top:112350;height:150;width:645;" fillcolor="#FF0000" filled="t" stroked="t" coordsize="21600,21600" adj="16200,5400">
              <v:path/>
              <v:fill on="t" focussize="0,0"/>
              <v:stroke color="#000000"/>
              <v:imagedata o:title=""/>
              <o:lock v:ext="edit" aspectratio="f"/>
            </v:shape>
            <v:shape id="_x0000_s1036" o:spid="_x0000_s1036" o:spt="13" type="#_x0000_t13" style="position:absolute;left:7770;top:114105;height:150;width:645;" fillcolor="#FF0000" filled="t" stroked="t" coordsize="21600,21600" adj="16200,5400">
              <v:path/>
              <v:fill on="t" color2="#FFFFFF" focussize="0,0"/>
              <v:stroke color="#000000" joinstyle="miter"/>
              <v:imagedata o:title=""/>
              <o:lock v:ext="edit" aspectratio="f"/>
            </v:shape>
            <v:shape id="_x0000_s1037" o:spid="_x0000_s1037" o:spt="13" type="#_x0000_t13" style="position:absolute;left:9210;top:112365;height:150;width:645;" fillcolor="#FF0000" filled="t" stroked="t" coordsize="21600,21600" adj="16200,5400">
              <v:path/>
              <v:fill on="t" color2="#FFFFFF" focussize="0,0"/>
              <v:stroke color="#000000" joinstyle="miter"/>
              <v:imagedata o:title=""/>
              <o:lock v:ext="edit" aspectratio="f"/>
            </v:shape>
            <v:shape id="_x0000_s1038" o:spid="_x0000_s1038" o:spt="13" type="#_x0000_t13" style="position:absolute;left:10605;top:112350;height:150;width:645;" fillcolor="#FF0000" filled="t" stroked="t" coordsize="21600,21600" adj="16200,5400">
              <v:path/>
              <v:fill on="t" color2="#FFFFFF" focussize="0,0"/>
              <v:stroke color="#000000" joinstyle="miter"/>
              <v:imagedata o:title=""/>
              <o:lock v:ext="edit" aspectratio="f"/>
            </v:shape>
            <v:shape id="_x0000_s1039" o:spid="_x0000_s1039" o:spt="13" type="#_x0000_t13" style="position:absolute;left:9195;top:114120;height:150;width:645;" fillcolor="#FF0000" filled="t" stroked="t" coordsize="21600,21600" adj="16200,5400">
              <v:path/>
              <v:fill on="t" color2="#FFFFFF" focussize="0,0"/>
              <v:stroke color="#000000" joinstyle="miter"/>
              <v:imagedata o:title=""/>
              <o:lock v:ext="edit" aspectratio="f"/>
            </v:shape>
            <v:shape id="_x0000_s1040" o:spid="_x0000_s1040" o:spt="13" type="#_x0000_t13" style="position:absolute;left:10635;top:114135;height:150;width:645;" fillcolor="#FF0000" filled="t" stroked="t" coordsize="21600,21600" adj="16200,5400">
              <v:path/>
              <v:fill on="t" color2="#FFFFFF" focussize="0,0"/>
              <v:stroke color="#000000" joinstyle="miter"/>
              <v:imagedata o:title=""/>
              <o:lock v:ext="edit" aspectratio="f"/>
            </v:shape>
          </v:group>
        </w:pict>
      </w: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hint="eastAsia" w:asciiTheme="minorEastAsia" w:hAnsiTheme="minorEastAsia" w:cstheme="minorEastAsia"/>
          <w:color w:val="000000" w:themeColor="text1"/>
          <w:sz w:val="28"/>
          <w:szCs w:val="28"/>
          <w:lang w:val="en-US" w:eastAsia="zh-CN"/>
          <w14:textFill>
            <w14:solidFill>
              <w14:schemeClr w14:val="tx1"/>
            </w14:solidFill>
          </w14:textFill>
        </w:rPr>
      </w:pPr>
    </w:p>
    <w:p>
      <w:pPr>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lang w:val="en-US" w:eastAsia="zh-CN"/>
          <w14:textFill>
            <w14:solidFill>
              <w14:schemeClr w14:val="tx1"/>
            </w14:solidFill>
          </w14:textFill>
        </w:rPr>
        <w:t>（2）根据</w:t>
      </w:r>
      <w:r>
        <w:rPr>
          <w:rFonts w:asciiTheme="minorEastAsia" w:hAnsi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eastAsia="zh-CN"/>
          <w14:textFill>
            <w14:solidFill>
              <w14:schemeClr w14:val="tx1"/>
            </w14:solidFill>
          </w14:textFill>
        </w:rPr>
        <w:t>中华人民共和国</w:t>
      </w:r>
      <w:r>
        <w:rPr>
          <w:rFonts w:asciiTheme="minorEastAsia" w:hAnsiTheme="minorEastAsia" w:cstheme="minorEastAsia"/>
          <w:color w:val="000000" w:themeColor="text1"/>
          <w:sz w:val="28"/>
          <w:szCs w:val="28"/>
          <w14:textFill>
            <w14:solidFill>
              <w14:schemeClr w14:val="tx1"/>
            </w14:solidFill>
          </w14:textFill>
        </w:rPr>
        <w:t>电力法》</w:t>
      </w:r>
      <w:r>
        <w:rPr>
          <w:rFonts w:hint="eastAsia" w:asciiTheme="minorEastAsia" w:hAnsiTheme="minorEastAsia" w:cstheme="minorEastAsia"/>
          <w:color w:val="000000" w:themeColor="text1"/>
          <w:sz w:val="28"/>
          <w:szCs w:val="28"/>
          <w:lang w:eastAsia="zh-CN"/>
          <w14:textFill>
            <w14:solidFill>
              <w14:schemeClr w14:val="tx1"/>
            </w14:solidFill>
          </w14:textFill>
        </w:rPr>
        <w:t>的规定，故意调快电能表属于违法行为，电能表制造厂商在当地技术监督局的监管下进行电能表的制造生产，电网公司无权进行干涉</w:t>
      </w:r>
      <w:r>
        <w:rPr>
          <w:rFonts w:hint="eastAsia" w:asciiTheme="minorEastAsia" w:hAnsiTheme="minorEastAsia" w:cstheme="minorEastAsia"/>
          <w:color w:val="000000" w:themeColor="text1"/>
          <w:sz w:val="28"/>
          <w:szCs w:val="28"/>
          <w14:textFill>
            <w14:solidFill>
              <w14:schemeClr w14:val="tx1"/>
            </w14:solidFill>
          </w14:textFill>
        </w:rPr>
        <w:t>。</w:t>
      </w:r>
    </w:p>
    <w:p>
      <w:pPr>
        <w:rPr>
          <w:rFonts w:hint="eastAsia" w:asciiTheme="minorEastAsia" w:hAnsiTheme="minorEastAsia" w:cstheme="minorEastAsia"/>
          <w:color w:val="000000" w:themeColor="text1"/>
          <w:sz w:val="28"/>
          <w:szCs w:val="28"/>
          <w:lang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D1AF9"/>
    <w:multiLevelType w:val="singleLevel"/>
    <w:tmpl w:val="5A7D1AF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6845"/>
    <w:rsid w:val="00061319"/>
    <w:rsid w:val="000A2BB5"/>
    <w:rsid w:val="000A5A7E"/>
    <w:rsid w:val="00146F5F"/>
    <w:rsid w:val="00325FDB"/>
    <w:rsid w:val="003D66AC"/>
    <w:rsid w:val="0040290E"/>
    <w:rsid w:val="004312A0"/>
    <w:rsid w:val="00452A88"/>
    <w:rsid w:val="00490D5C"/>
    <w:rsid w:val="004F66C3"/>
    <w:rsid w:val="00535A0E"/>
    <w:rsid w:val="00695E83"/>
    <w:rsid w:val="006A34D0"/>
    <w:rsid w:val="006A4933"/>
    <w:rsid w:val="007448AA"/>
    <w:rsid w:val="007766BB"/>
    <w:rsid w:val="007A4D0C"/>
    <w:rsid w:val="008426DD"/>
    <w:rsid w:val="008514F0"/>
    <w:rsid w:val="008638C7"/>
    <w:rsid w:val="0089008D"/>
    <w:rsid w:val="00904022"/>
    <w:rsid w:val="00960B1A"/>
    <w:rsid w:val="00A61CB8"/>
    <w:rsid w:val="00AB4785"/>
    <w:rsid w:val="00AD61B4"/>
    <w:rsid w:val="00B81894"/>
    <w:rsid w:val="00C654A7"/>
    <w:rsid w:val="00CA37C3"/>
    <w:rsid w:val="00CB3EA9"/>
    <w:rsid w:val="00CD636D"/>
    <w:rsid w:val="00D07046"/>
    <w:rsid w:val="00D356FB"/>
    <w:rsid w:val="00D73272"/>
    <w:rsid w:val="00DA5398"/>
    <w:rsid w:val="00E87A68"/>
    <w:rsid w:val="00EA3193"/>
    <w:rsid w:val="00EF7E8E"/>
    <w:rsid w:val="00FE144A"/>
    <w:rsid w:val="01162CC9"/>
    <w:rsid w:val="04D34E7C"/>
    <w:rsid w:val="05332565"/>
    <w:rsid w:val="07190E2A"/>
    <w:rsid w:val="0A5547EB"/>
    <w:rsid w:val="0B9C32D2"/>
    <w:rsid w:val="11AB2F60"/>
    <w:rsid w:val="1473389F"/>
    <w:rsid w:val="16271EF5"/>
    <w:rsid w:val="17CB5798"/>
    <w:rsid w:val="1BD464D6"/>
    <w:rsid w:val="1BDA3843"/>
    <w:rsid w:val="1C3C5798"/>
    <w:rsid w:val="1C96285D"/>
    <w:rsid w:val="1D637A2D"/>
    <w:rsid w:val="1D88244C"/>
    <w:rsid w:val="1D9B0712"/>
    <w:rsid w:val="1EBC060E"/>
    <w:rsid w:val="1FBB309D"/>
    <w:rsid w:val="20524070"/>
    <w:rsid w:val="2210761E"/>
    <w:rsid w:val="226A2380"/>
    <w:rsid w:val="251A246A"/>
    <w:rsid w:val="26522401"/>
    <w:rsid w:val="26E4474A"/>
    <w:rsid w:val="2944054C"/>
    <w:rsid w:val="2A801021"/>
    <w:rsid w:val="2C5F7A26"/>
    <w:rsid w:val="2CB729E6"/>
    <w:rsid w:val="306838B9"/>
    <w:rsid w:val="306B448D"/>
    <w:rsid w:val="30E33843"/>
    <w:rsid w:val="30FC3E13"/>
    <w:rsid w:val="31F20130"/>
    <w:rsid w:val="321B3F98"/>
    <w:rsid w:val="322D7076"/>
    <w:rsid w:val="329C4ECD"/>
    <w:rsid w:val="32E30395"/>
    <w:rsid w:val="334A2172"/>
    <w:rsid w:val="36DE52D1"/>
    <w:rsid w:val="38F82AA1"/>
    <w:rsid w:val="39B84E33"/>
    <w:rsid w:val="3C0A75D2"/>
    <w:rsid w:val="3CC06476"/>
    <w:rsid w:val="3DCB4218"/>
    <w:rsid w:val="41A573B8"/>
    <w:rsid w:val="41D90BAE"/>
    <w:rsid w:val="434676A4"/>
    <w:rsid w:val="43675BD8"/>
    <w:rsid w:val="44CA1698"/>
    <w:rsid w:val="44F84193"/>
    <w:rsid w:val="45651C52"/>
    <w:rsid w:val="46E22C74"/>
    <w:rsid w:val="487646C6"/>
    <w:rsid w:val="49DE6B20"/>
    <w:rsid w:val="4BA34611"/>
    <w:rsid w:val="4D1245BC"/>
    <w:rsid w:val="4D68496C"/>
    <w:rsid w:val="4F127EE7"/>
    <w:rsid w:val="51597A19"/>
    <w:rsid w:val="52E82F81"/>
    <w:rsid w:val="57047D3F"/>
    <w:rsid w:val="57544E04"/>
    <w:rsid w:val="582F7834"/>
    <w:rsid w:val="5ADC3974"/>
    <w:rsid w:val="5CF344E1"/>
    <w:rsid w:val="609E38D8"/>
    <w:rsid w:val="61BF7986"/>
    <w:rsid w:val="646B774E"/>
    <w:rsid w:val="65A6372A"/>
    <w:rsid w:val="65FE71A0"/>
    <w:rsid w:val="66BE57F2"/>
    <w:rsid w:val="67993CD6"/>
    <w:rsid w:val="67DD248E"/>
    <w:rsid w:val="69704DEF"/>
    <w:rsid w:val="697D57B8"/>
    <w:rsid w:val="69F5558E"/>
    <w:rsid w:val="6D9B46CE"/>
    <w:rsid w:val="6DBC3993"/>
    <w:rsid w:val="6EFF7DB0"/>
    <w:rsid w:val="70433F11"/>
    <w:rsid w:val="72FF66E4"/>
    <w:rsid w:val="74C97528"/>
    <w:rsid w:val="75352C8A"/>
    <w:rsid w:val="75CA6BBB"/>
    <w:rsid w:val="767764D2"/>
    <w:rsid w:val="786F578B"/>
    <w:rsid w:val="79FF0AE9"/>
    <w:rsid w:val="7AFA1436"/>
    <w:rsid w:val="7B01129C"/>
    <w:rsid w:val="7C295BDA"/>
    <w:rsid w:val="7D8B0CC7"/>
    <w:rsid w:val="7E185C62"/>
    <w:rsid w:val="7FB66831"/>
    <w:rsid w:val="7FBB5A63"/>
    <w:rsid w:val="7FC031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uiPriority="0" w:semiHidden="0" w:name="toc 8"/>
    <w:lsdException w:qFormat="1" w:uiPriority="0"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toc 7"/>
    <w:next w:val="1"/>
    <w:unhideWhenUsed/>
    <w:qFormat/>
    <w:uiPriority w:val="0"/>
    <w:pPr>
      <w:ind w:left="1050"/>
      <w:jc w:val="left"/>
    </w:pPr>
    <w:rPr>
      <w:rFonts w:ascii="Calibri" w:hAnsi="Calibri" w:eastAsia="宋体" w:cs="Times New Roman"/>
      <w:sz w:val="20"/>
      <w:szCs w:val="20"/>
    </w:rPr>
  </w:style>
  <w:style w:type="paragraph" w:styleId="3">
    <w:name w:val="toc 5"/>
    <w:next w:val="1"/>
    <w:unhideWhenUsed/>
    <w:qFormat/>
    <w:uiPriority w:val="0"/>
    <w:pPr>
      <w:ind w:left="630"/>
      <w:jc w:val="left"/>
    </w:pPr>
    <w:rPr>
      <w:rFonts w:ascii="Calibri" w:hAnsi="Calibri" w:eastAsia="宋体" w:cs="Times New Roman"/>
      <w:sz w:val="20"/>
      <w:szCs w:val="20"/>
    </w:rPr>
  </w:style>
  <w:style w:type="paragraph" w:styleId="4">
    <w:name w:val="toc 3"/>
    <w:next w:val="1"/>
    <w:unhideWhenUsed/>
    <w:qFormat/>
    <w:uiPriority w:val="0"/>
    <w:pPr>
      <w:ind w:left="210"/>
      <w:jc w:val="left"/>
    </w:pPr>
    <w:rPr>
      <w:rFonts w:ascii="Calibri" w:hAnsi="Calibri" w:eastAsia="宋体" w:cs="Times New Roman"/>
      <w:sz w:val="20"/>
      <w:szCs w:val="20"/>
    </w:rPr>
  </w:style>
  <w:style w:type="paragraph" w:styleId="5">
    <w:name w:val="toc 8"/>
    <w:next w:val="1"/>
    <w:unhideWhenUsed/>
    <w:uiPriority w:val="0"/>
    <w:pPr>
      <w:ind w:left="1260"/>
      <w:jc w:val="left"/>
    </w:pPr>
    <w:rPr>
      <w:rFonts w:ascii="Calibri" w:hAnsi="Calibri" w:eastAsia="宋体" w:cs="Times New Roman"/>
      <w:sz w:val="20"/>
      <w:szCs w:val="20"/>
    </w:rPr>
  </w:style>
  <w:style w:type="paragraph" w:styleId="6">
    <w:name w:val="footer"/>
    <w:basedOn w:val="1"/>
    <w:link w:val="18"/>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toc 1"/>
    <w:next w:val="1"/>
    <w:unhideWhenUsed/>
    <w:uiPriority w:val="0"/>
    <w:pPr>
      <w:spacing w:beforeLines="115"/>
      <w:jc w:val="left"/>
    </w:pPr>
    <w:rPr>
      <w:rFonts w:ascii="Calibri" w:hAnsi="Calibri" w:eastAsia="宋体" w:cs="Times New Roman"/>
      <w:b/>
      <w:bCs/>
      <w:caps/>
      <w:sz w:val="24"/>
    </w:rPr>
  </w:style>
  <w:style w:type="paragraph" w:styleId="9">
    <w:name w:val="toc 4"/>
    <w:next w:val="1"/>
    <w:unhideWhenUsed/>
    <w:qFormat/>
    <w:uiPriority w:val="0"/>
    <w:pPr>
      <w:ind w:left="420"/>
      <w:jc w:val="left"/>
    </w:pPr>
    <w:rPr>
      <w:rFonts w:ascii="Calibri" w:hAnsi="Calibri" w:eastAsia="宋体" w:cs="Times New Roman"/>
      <w:sz w:val="20"/>
      <w:szCs w:val="20"/>
    </w:rPr>
  </w:style>
  <w:style w:type="paragraph" w:styleId="10">
    <w:name w:val="toc 6"/>
    <w:next w:val="1"/>
    <w:unhideWhenUsed/>
    <w:qFormat/>
    <w:uiPriority w:val="0"/>
    <w:pPr>
      <w:ind w:left="840"/>
      <w:jc w:val="left"/>
    </w:pPr>
    <w:rPr>
      <w:rFonts w:ascii="Calibri" w:hAnsi="Calibri" w:eastAsia="宋体" w:cs="Times New Roman"/>
      <w:sz w:val="20"/>
      <w:szCs w:val="20"/>
    </w:rPr>
  </w:style>
  <w:style w:type="paragraph" w:styleId="11">
    <w:name w:val="toc 2"/>
    <w:next w:val="1"/>
    <w:unhideWhenUsed/>
    <w:qFormat/>
    <w:uiPriority w:val="0"/>
    <w:pPr>
      <w:spacing w:beforeLines="77"/>
      <w:jc w:val="left"/>
    </w:pPr>
    <w:rPr>
      <w:rFonts w:ascii="Calibri" w:hAnsi="Calibri" w:eastAsia="宋体" w:cs="Times New Roman"/>
      <w:b/>
      <w:bCs/>
      <w:sz w:val="20"/>
      <w:szCs w:val="20"/>
    </w:rPr>
  </w:style>
  <w:style w:type="paragraph" w:styleId="12">
    <w:name w:val="toc 9"/>
    <w:next w:val="1"/>
    <w:unhideWhenUsed/>
    <w:qFormat/>
    <w:uiPriority w:val="0"/>
    <w:pPr>
      <w:ind w:left="1470"/>
      <w:jc w:val="left"/>
    </w:pPr>
    <w:rPr>
      <w:rFonts w:ascii="Calibri" w:hAnsi="Calibri" w:eastAsia="宋体" w:cs="Times New Roman"/>
      <w:sz w:val="20"/>
      <w:szCs w:val="20"/>
    </w:rPr>
  </w:style>
  <w:style w:type="paragraph" w:styleId="13">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16">
    <w:name w:val="List Paragraph"/>
    <w:basedOn w:val="1"/>
    <w:unhideWhenUsed/>
    <w:qFormat/>
    <w:uiPriority w:val="99"/>
    <w:pPr>
      <w:ind w:firstLine="420" w:firstLineChars="200"/>
    </w:pPr>
  </w:style>
  <w:style w:type="character" w:customStyle="1" w:styleId="17">
    <w:name w:val="页眉 字符"/>
    <w:basedOn w:val="14"/>
    <w:link w:val="7"/>
    <w:qFormat/>
    <w:uiPriority w:val="0"/>
    <w:rPr>
      <w:kern w:val="2"/>
      <w:sz w:val="18"/>
      <w:szCs w:val="18"/>
    </w:rPr>
  </w:style>
  <w:style w:type="character" w:customStyle="1" w:styleId="18">
    <w:name w:val="页脚 字符"/>
    <w:basedOn w:val="14"/>
    <w:link w:val="6"/>
    <w:qFormat/>
    <w:uiPriority w:val="0"/>
    <w:rPr>
      <w:kern w:val="2"/>
      <w:sz w:val="18"/>
      <w:szCs w:val="18"/>
    </w:rPr>
  </w:style>
  <w:style w:type="paragraph" w:customStyle="1" w:styleId="19">
    <w:name w:val="No Spacing"/>
    <w:link w:val="20"/>
    <w:qFormat/>
    <w:uiPriority w:val="0"/>
    <w:rPr>
      <w:rFonts w:hint="default" w:ascii="Times New Roman" w:hAnsi="Times New Roman" w:eastAsia="宋体" w:cs="Times New Roman"/>
      <w:sz w:val="22"/>
    </w:rPr>
  </w:style>
  <w:style w:type="character" w:customStyle="1" w:styleId="20">
    <w:name w:val="无间隔 Char"/>
    <w:basedOn w:val="14"/>
    <w:link w:val="19"/>
    <w:qFormat/>
    <w:uiPriority w:val="0"/>
    <w:rPr>
      <w:rFonts w:hint="default" w:ascii="Times New Roman" w:hAnsi="Times New Roman" w:eastAsia="宋体"/>
      <w:sz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ghz\Desktop\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4"/>
    <customShpInfo spid="_x0000_s1033"/>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438</Words>
  <Characters>2503</Characters>
  <Lines>20</Lines>
  <Paragraphs>5</Paragraphs>
  <TotalTime>6</TotalTime>
  <ScaleCrop>false</ScaleCrop>
  <LinksUpToDate>false</LinksUpToDate>
  <CharactersWithSpaces>2936</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2018-01-23T01:14:00Z</dcterms:created>
  <dc:creator>Administrator</dc:creator>
  <cp:lastModifiedBy>caixw</cp:lastModifiedBy>
  <dcterms:modified xsi:type="dcterms:W3CDTF">2019-05-23T07:38:55Z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